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Control Plan ICP-3 - Software-Produktionslenkungsplan</w:t>
      </w:r>
    </w:p>
    <w:p>
      <w:pPr>
        <w:jc w:val="center"/>
      </w:pPr>
      <w:r>
        <w:t>Erstellt gemaess IATF 16949 Kap. 8.5.1 und VDA Band 4 fuer ICP-3 (InfoConnect Pro (Infotainment-Modul))</w:t>
      </w:r>
    </w:p>
    <w:p/>
    <w:p>
      <w:pPr>
        <w:pStyle w:val="Heading3"/>
      </w:pPr>
      <w:r>
        <w:t>Produkt-Identifikation</w:t>
      </w:r>
    </w:p>
    <w:p>
      <w:r>
        <w:t>Produkt: ICP-3 - InfoConnect Pro (Infotainment-Modul)</w:t>
        <w:br/>
        <w:t>Software-Version: 7.3.1-RELEASE</w:t>
        <w:br/>
        <w:t>Hauptkunde: BMW Group (G70 / iX5) und Mercedes-Benz (EQS MBUX Hyperscreen)</w:t>
        <w:br/>
        <w:t>Sicherheitsklasse: ISO 26262 QM (kein ASIL - QM-Kategorie B)</w:t>
        <w:br/>
        <w:t>ASPICE-Prozessreife: ASPICE Level 2 (intacs-bestaetigt 11/2021)</w:t>
        <w:br/>
        <w:t>Control-Plan-Status: in Kraft ab 01.01.2023</w:t>
        <w:br/>
        <w:t>Verantwortlich Erstellung: Dr. Sabrina Halbig (QM); Lars Wittmann (Tech Lead)</w:t>
      </w:r>
    </w:p>
    <w:p>
      <w:pPr>
        <w:pStyle w:val="Heading3"/>
      </w:pPr>
      <w:r>
        <w:t>Anwendungsbereich</w:t>
      </w:r>
    </w:p>
    <w:p>
      <w:r>
        <w:t>Dieser Control Plan beschreibt die Pruef- und Lenkungsmassnahmen fuer alle Software-Produktionsschritte des Produkts ICP-3. Er gilt fuer alle Releases der Hauptversion 7.3.1-RELEASE und nachfolgende Patch-Releases im Jahr 2023. Der Plan ist integraler Bestandteil der ASPICE-Akte und wird bei jeder Aenderung des Produktdesigns oder der Toolchain (Major-Upgrade) ueberarbeitet.</w:t>
      </w:r>
    </w:p>
    <w:p>
      <w:pPr>
        <w:pStyle w:val="Heading3"/>
      </w:pPr>
      <w:r>
        <w:t>Pruef- und Lenkungsplan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Prozessschritt</w:t>
            </w:r>
          </w:p>
        </w:tc>
        <w:tc>
          <w:tcPr>
            <w:tcW w:type="dxa" w:w="1440"/>
          </w:tcPr>
          <w:p>
            <w:r>
              <w:t>Pruefmerkmal</w:t>
            </w:r>
          </w:p>
        </w:tc>
        <w:tc>
          <w:tcPr>
            <w:tcW w:type="dxa" w:w="1440"/>
          </w:tcPr>
          <w:p>
            <w:r>
              <w:t>Methode</w:t>
            </w:r>
          </w:p>
        </w:tc>
        <w:tc>
          <w:tcPr>
            <w:tcW w:type="dxa" w:w="1440"/>
          </w:tcPr>
          <w:p>
            <w:r>
              <w:t>Frequenz</w:t>
            </w:r>
          </w:p>
        </w:tc>
        <w:tc>
          <w:tcPr>
            <w:tcW w:type="dxa" w:w="1440"/>
          </w:tcPr>
          <w:p>
            <w:r>
              <w:t>Verantwortlich</w:t>
            </w:r>
          </w:p>
        </w:tc>
        <w:tc>
          <w:tcPr>
            <w:tcW w:type="dxa" w:w="1440"/>
          </w:tcPr>
          <w:p>
            <w:r>
              <w:t>Aufzeichnung</w:t>
            </w:r>
          </w:p>
        </w:tc>
      </w:tr>
      <w:tr>
        <w:tc>
          <w:tcPr>
            <w:tcW w:type="dxa" w:w="1440"/>
          </w:tcPr>
          <w:p>
            <w:r>
              <w:t>SWE.1 Anforderungsanalyse</w:t>
            </w:r>
          </w:p>
        </w:tc>
        <w:tc>
          <w:tcPr>
            <w:tcW w:type="dxa" w:w="1440"/>
          </w:tcPr>
          <w:p>
            <w:r>
              <w:t>Vollstaendigkeit / Traceability</w:t>
            </w:r>
          </w:p>
        </w:tc>
        <w:tc>
          <w:tcPr>
            <w:tcW w:type="dxa" w:w="1440"/>
          </w:tcPr>
          <w:p>
            <w:r>
              <w:t>Polarion Review</w:t>
            </w:r>
          </w:p>
        </w:tc>
        <w:tc>
          <w:tcPr>
            <w:tcW w:type="dxa" w:w="1440"/>
          </w:tcPr>
          <w:p>
            <w:r>
              <w:t>je Release</w:t>
            </w:r>
          </w:p>
        </w:tc>
        <w:tc>
          <w:tcPr>
            <w:tcW w:type="dxa" w:w="1440"/>
          </w:tcPr>
          <w:p>
            <w:r>
              <w:t>Anforderungsmanager</w:t>
            </w:r>
          </w:p>
        </w:tc>
        <w:tc>
          <w:tcPr>
            <w:tcW w:type="dxa" w:w="1440"/>
          </w:tcPr>
          <w:p>
            <w:r>
              <w:t>Polarion AuditLog</w:t>
            </w:r>
          </w:p>
        </w:tc>
      </w:tr>
      <w:tr>
        <w:tc>
          <w:tcPr>
            <w:tcW w:type="dxa" w:w="1440"/>
          </w:tcPr>
          <w:p>
            <w:r>
              <w:t>SWE.2 Architekturdesign</w:t>
            </w:r>
          </w:p>
        </w:tc>
        <w:tc>
          <w:tcPr>
            <w:tcW w:type="dxa" w:w="1440"/>
          </w:tcPr>
          <w:p>
            <w:r>
              <w:t>Architekturkonformitaet</w:t>
            </w:r>
          </w:p>
        </w:tc>
        <w:tc>
          <w:tcPr>
            <w:tcW w:type="dxa" w:w="1440"/>
          </w:tcPr>
          <w:p>
            <w:r>
              <w:t>Enterprise Architect Check</w:t>
            </w:r>
          </w:p>
        </w:tc>
        <w:tc>
          <w:tcPr>
            <w:tcW w:type="dxa" w:w="1440"/>
          </w:tcPr>
          <w:p>
            <w:r>
              <w:t>je Release</w:t>
            </w:r>
          </w:p>
        </w:tc>
        <w:tc>
          <w:tcPr>
            <w:tcW w:type="dxa" w:w="1440"/>
          </w:tcPr>
          <w:p>
            <w:r>
              <w:t>Architekt</w:t>
            </w:r>
          </w:p>
        </w:tc>
        <w:tc>
          <w:tcPr>
            <w:tcW w:type="dxa" w:w="1440"/>
          </w:tcPr>
          <w:p>
            <w:r>
              <w:t>EA-Modell</w:t>
            </w:r>
          </w:p>
        </w:tc>
      </w:tr>
      <w:tr>
        <w:tc>
          <w:tcPr>
            <w:tcW w:type="dxa" w:w="1440"/>
          </w:tcPr>
          <w:p>
            <w:r>
              <w:t>SWE.3 Detaildesign</w:t>
            </w:r>
          </w:p>
        </w:tc>
        <w:tc>
          <w:tcPr>
            <w:tcW w:type="dxa" w:w="1440"/>
          </w:tcPr>
          <w:p>
            <w:r>
              <w:t>Coding-Standard MISRA C 2012</w:t>
            </w:r>
          </w:p>
        </w:tc>
        <w:tc>
          <w:tcPr>
            <w:tcW w:type="dxa" w:w="1440"/>
          </w:tcPr>
          <w:p>
            <w:r>
              <w:t>PC-lint Plus</w:t>
            </w:r>
          </w:p>
        </w:tc>
        <w:tc>
          <w:tcPr>
            <w:tcW w:type="dxa" w:w="1440"/>
          </w:tcPr>
          <w:p>
            <w:r>
              <w:t>je Commit</w:t>
            </w:r>
          </w:p>
        </w:tc>
        <w:tc>
          <w:tcPr>
            <w:tcW w:type="dxa" w:w="1440"/>
          </w:tcPr>
          <w:p>
            <w:r>
              <w:t>Entwickler/Reviewer</w:t>
            </w:r>
          </w:p>
        </w:tc>
        <w:tc>
          <w:tcPr>
            <w:tcW w:type="dxa" w:w="1440"/>
          </w:tcPr>
          <w:p>
            <w:r>
              <w:t>Build-Log</w:t>
            </w:r>
          </w:p>
        </w:tc>
      </w:tr>
      <w:tr>
        <w:tc>
          <w:tcPr>
            <w:tcW w:type="dxa" w:w="1440"/>
          </w:tcPr>
          <w:p>
            <w:r>
              <w:t>SWE.4 Unit Test</w:t>
            </w:r>
          </w:p>
        </w:tc>
        <w:tc>
          <w:tcPr>
            <w:tcW w:type="dxa" w:w="1440"/>
          </w:tcPr>
          <w:p>
            <w:r>
              <w:t>Code Coverage &gt;= 95 % (Branch)</w:t>
            </w:r>
          </w:p>
        </w:tc>
        <w:tc>
          <w:tcPr>
            <w:tcW w:type="dxa" w:w="1440"/>
          </w:tcPr>
          <w:p>
            <w:r>
              <w:t>Tessy / VectorCAST</w:t>
            </w:r>
          </w:p>
        </w:tc>
        <w:tc>
          <w:tcPr>
            <w:tcW w:type="dxa" w:w="1440"/>
          </w:tcPr>
          <w:p>
            <w:r>
              <w:t>je Build</w:t>
            </w:r>
          </w:p>
        </w:tc>
        <w:tc>
          <w:tcPr>
            <w:tcW w:type="dxa" w:w="1440"/>
          </w:tcPr>
          <w:p>
            <w:r>
              <w:t>Entwickler</w:t>
            </w:r>
          </w:p>
        </w:tc>
        <w:tc>
          <w:tcPr>
            <w:tcW w:type="dxa" w:w="1440"/>
          </w:tcPr>
          <w:p>
            <w:r>
              <w:t>Coverage-Report</w:t>
            </w:r>
          </w:p>
        </w:tc>
      </w:tr>
      <w:tr>
        <w:tc>
          <w:tcPr>
            <w:tcW w:type="dxa" w:w="1440"/>
          </w:tcPr>
          <w:p>
            <w:r>
              <w:t>SWE.5 Integration</w:t>
            </w:r>
          </w:p>
        </w:tc>
        <w:tc>
          <w:tcPr>
            <w:tcW w:type="dxa" w:w="1440"/>
          </w:tcPr>
          <w:p>
            <w:r>
              <w:t>Integrationstest 100 % Pass</w:t>
            </w:r>
          </w:p>
        </w:tc>
        <w:tc>
          <w:tcPr>
            <w:tcW w:type="dxa" w:w="1440"/>
          </w:tcPr>
          <w:p>
            <w:r>
              <w:t>Vector CANoe 14</w:t>
            </w:r>
          </w:p>
        </w:tc>
        <w:tc>
          <w:tcPr>
            <w:tcW w:type="dxa" w:w="1440"/>
          </w:tcPr>
          <w:p>
            <w:r>
              <w:t>je Release</w:t>
            </w:r>
          </w:p>
        </w:tc>
        <w:tc>
          <w:tcPr>
            <w:tcW w:type="dxa" w:w="1440"/>
          </w:tcPr>
          <w:p>
            <w:r>
              <w:t>Test-Engineer</w:t>
            </w:r>
          </w:p>
        </w:tc>
        <w:tc>
          <w:tcPr>
            <w:tcW w:type="dxa" w:w="1440"/>
          </w:tcPr>
          <w:p>
            <w:r>
              <w:t>CANoe TestReport</w:t>
            </w:r>
          </w:p>
        </w:tc>
      </w:tr>
      <w:tr>
        <w:tc>
          <w:tcPr>
            <w:tcW w:type="dxa" w:w="1440"/>
          </w:tcPr>
          <w:p>
            <w:r>
              <w:t>SWE.6 Software Qualifikation</w:t>
            </w:r>
          </w:p>
        </w:tc>
        <w:tc>
          <w:tcPr>
            <w:tcW w:type="dxa" w:w="1440"/>
          </w:tcPr>
          <w:p>
            <w:r>
              <w:t>HiL-Test 100 % Pass + EMV-Robustheit</w:t>
            </w:r>
          </w:p>
        </w:tc>
        <w:tc>
          <w:tcPr>
            <w:tcW w:type="dxa" w:w="1440"/>
          </w:tcPr>
          <w:p>
            <w:r>
              <w:t>ETAS LABCAR</w:t>
            </w:r>
          </w:p>
        </w:tc>
        <w:tc>
          <w:tcPr>
            <w:tcW w:type="dxa" w:w="1440"/>
          </w:tcPr>
          <w:p>
            <w:r>
              <w:t>je Release</w:t>
            </w:r>
          </w:p>
        </w:tc>
        <w:tc>
          <w:tcPr>
            <w:tcW w:type="dxa" w:w="1440"/>
          </w:tcPr>
          <w:p>
            <w:r>
              <w:t>Validation</w:t>
            </w:r>
          </w:p>
        </w:tc>
        <w:tc>
          <w:tcPr>
            <w:tcW w:type="dxa" w:w="1440"/>
          </w:tcPr>
          <w:p>
            <w:r>
              <w:t>Testprotokoll</w:t>
            </w:r>
          </w:p>
        </w:tc>
      </w:tr>
      <w:tr>
        <w:tc>
          <w:tcPr>
            <w:tcW w:type="dxa" w:w="1440"/>
          </w:tcPr>
          <w:p>
            <w:r>
              <w:t>SUP.8 KM / Versionierung</w:t>
            </w:r>
          </w:p>
        </w:tc>
        <w:tc>
          <w:tcPr>
            <w:tcW w:type="dxa" w:w="1440"/>
          </w:tcPr>
          <w:p>
            <w:r>
              <w:t>Git-Tag konform zu Release-ID</w:t>
            </w:r>
          </w:p>
        </w:tc>
        <w:tc>
          <w:tcPr>
            <w:tcW w:type="dxa" w:w="1440"/>
          </w:tcPr>
          <w:p>
            <w:r>
              <w:t>Git-Hook</w:t>
            </w:r>
          </w:p>
        </w:tc>
        <w:tc>
          <w:tcPr>
            <w:tcW w:type="dxa" w:w="1440"/>
          </w:tcPr>
          <w:p>
            <w:r>
              <w:t>je Release</w:t>
            </w:r>
          </w:p>
        </w:tc>
        <w:tc>
          <w:tcPr>
            <w:tcW w:type="dxa" w:w="1440"/>
          </w:tcPr>
          <w:p>
            <w:r>
              <w:t>Build-Master</w:t>
            </w:r>
          </w:p>
        </w:tc>
        <w:tc>
          <w:tcPr>
            <w:tcW w:type="dxa" w:w="1440"/>
          </w:tcPr>
          <w:p>
            <w:r>
              <w:t>Git-Log</w:t>
            </w:r>
          </w:p>
        </w:tc>
      </w:tr>
      <w:tr>
        <w:tc>
          <w:tcPr>
            <w:tcW w:type="dxa" w:w="1440"/>
          </w:tcPr>
          <w:p>
            <w:r>
              <w:t>SUP.10 CCB-Freigabe</w:t>
            </w:r>
          </w:p>
        </w:tc>
        <w:tc>
          <w:tcPr>
            <w:tcW w:type="dxa" w:w="1440"/>
          </w:tcPr>
          <w:p>
            <w:r>
              <w:t>Aenderungen &gt;= Schwellwert</w:t>
            </w:r>
          </w:p>
        </w:tc>
        <w:tc>
          <w:tcPr>
            <w:tcW w:type="dxa" w:w="1440"/>
          </w:tcPr>
          <w:p>
            <w:r>
              <w:t>Jira CCB-Workflow</w:t>
            </w:r>
          </w:p>
        </w:tc>
        <w:tc>
          <w:tcPr>
            <w:tcW w:type="dxa" w:w="1440"/>
          </w:tcPr>
          <w:p>
            <w:r>
              <w:t>je Change</w:t>
            </w:r>
          </w:p>
        </w:tc>
        <w:tc>
          <w:tcPr>
            <w:tcW w:type="dxa" w:w="1440"/>
          </w:tcPr>
          <w:p>
            <w:r>
              <w:t>CCB-Vorsitz</w:t>
            </w:r>
          </w:p>
        </w:tc>
        <w:tc>
          <w:tcPr>
            <w:tcW w:type="dxa" w:w="1440"/>
          </w:tcPr>
          <w:p>
            <w:r>
              <w:t>Jira CCB-Ticket</w:t>
            </w:r>
          </w:p>
        </w:tc>
      </w:tr>
      <w:tr>
        <w:tc>
          <w:tcPr>
            <w:tcW w:type="dxa" w:w="1440"/>
          </w:tcPr>
          <w:p>
            <w:r>
              <w:t>Final Release Approval</w:t>
            </w:r>
          </w:p>
        </w:tc>
        <w:tc>
          <w:tcPr>
            <w:tcW w:type="dxa" w:w="1440"/>
          </w:tcPr>
          <w:p>
            <w:r>
              <w:t>Vier-Augen-Pruefung</w:t>
            </w:r>
          </w:p>
        </w:tc>
        <w:tc>
          <w:tcPr>
            <w:tcW w:type="dxa" w:w="1440"/>
          </w:tcPr>
          <w:p>
            <w:r>
              <w:t>Release Notes Review</w:t>
            </w:r>
          </w:p>
        </w:tc>
        <w:tc>
          <w:tcPr>
            <w:tcW w:type="dxa" w:w="1440"/>
          </w:tcPr>
          <w:p>
            <w:r>
              <w:t>je Release</w:t>
            </w:r>
          </w:p>
        </w:tc>
        <w:tc>
          <w:tcPr>
            <w:tcW w:type="dxa" w:w="1440"/>
          </w:tcPr>
          <w:p>
            <w:r>
              <w:t>GF + Tech Lead</w:t>
            </w:r>
          </w:p>
        </w:tc>
        <w:tc>
          <w:tcPr>
            <w:tcW w:type="dxa" w:w="1440"/>
          </w:tcPr>
          <w:p>
            <w:r>
              <w:t>Release Letter</w:t>
            </w:r>
          </w:p>
        </w:tc>
      </w:tr>
    </w:tbl>
    <w:p>
      <w:pPr>
        <w:pStyle w:val="Heading3"/>
      </w:pPr>
      <w:r>
        <w:t>Spezielle Merkmale (Special Characteristics)</w:t>
      </w:r>
    </w:p>
    <w:p>
      <w:pPr>
        <w:pStyle w:val="ListBullet"/>
      </w:pPr>
      <w:r>
        <w:t>Funktional sicherheitsrelevante Funktionen (QM (kein ASIL - QM-Kategorie B)) sind im Quellcode mit dem Annotations-Tag @ASIL gekennzeichnet und unterliegen einer 100%-Code-Review-Pflicht (4-Augen-Prinzip; mind. ein FSE-zertifizierter Reviewer).</w:t>
      </w:r>
    </w:p>
    <w:p>
      <w:pPr>
        <w:pStyle w:val="ListBullet"/>
      </w:pPr>
      <w:r>
        <w:t>Cyber-Security-relevante Code-Sektionen (gemaess ISO/SAE 21434) sind mit @SecRel gekennzeichnet und unterliegen zusaetzlich einem statischen Security-Scan (Coverity).</w:t>
      </w:r>
    </w:p>
    <w:p>
      <w:pPr>
        <w:pStyle w:val="ListBullet"/>
      </w:pPr>
      <w:r>
        <w:t>Aenderungen an der Konfigurationsbeschreibung der ECU (XCP-Layer) erfordern regressionstest-Komplettlauf vor Release.</w:t>
      </w:r>
    </w:p>
    <w:p>
      <w:pPr>
        <w:pStyle w:val="ListBullet"/>
      </w:pPr>
      <w:r>
        <w:t>Zusatzfunktionen: Android Automotive Stack 13; OTA-Updates; HMI fuer 5 Sprachen; Apple CarPlay / Android Auto Wireless</w:t>
      </w:r>
    </w:p>
    <w:p>
      <w:pPr>
        <w:pStyle w:val="Heading3"/>
      </w:pPr>
      <w:r>
        <w:t>Lenkungsmassnahmen bei Abweichungen</w:t>
      </w:r>
    </w:p>
    <w:p>
      <w:r>
        <w:t>Bei Abweichungen (z. B. Coverage &lt; 95 %, fehlgeschlagene Integrationstests, MISRA-Violations Kategorie 'Mandatory') wird der Release-Prozess automatisch durch die CI/CD-Pipeline (Jenkins) gestoppt. Eine Freigabe darf nur durch die GF oder den stellv. Tech Lead nach dokumentierter Risikobewertung (Deviation Permit) erfolgen. Deviation Permits werden monatlich im Q-Review (Sabrina Halbig) eskaliert und im QSR (Quarterly Quality Review) mit der Konzern-Q-Leitung Heilbronn abgestimmt.</w:t>
      </w:r>
    </w:p>
    <w:p>
      <w:pPr>
        <w:pStyle w:val="Heading3"/>
      </w:pPr>
      <w:r>
        <w:t>Reaktionsplan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Abweichungsart</w:t>
            </w:r>
          </w:p>
        </w:tc>
        <w:tc>
          <w:tcPr>
            <w:tcW w:type="dxa" w:w="2880"/>
          </w:tcPr>
          <w:p>
            <w:r>
              <w:t>Sofortmassnahme</w:t>
            </w:r>
          </w:p>
        </w:tc>
        <w:tc>
          <w:tcPr>
            <w:tcW w:type="dxa" w:w="2880"/>
          </w:tcPr>
          <w:p>
            <w:r>
              <w:t>Eskalationsstufe</w:t>
            </w:r>
          </w:p>
        </w:tc>
      </w:tr>
      <w:tr>
        <w:tc>
          <w:tcPr>
            <w:tcW w:type="dxa" w:w="2880"/>
          </w:tcPr>
          <w:p>
            <w:r>
              <w:t>Coverage &lt; 95 %</w:t>
            </w:r>
          </w:p>
        </w:tc>
        <w:tc>
          <w:tcPr>
            <w:tcW w:type="dxa" w:w="2880"/>
          </w:tcPr>
          <w:p>
            <w:r>
              <w:t>Build-Stopp; ergaenzende Unit-Tests</w:t>
            </w:r>
          </w:p>
        </w:tc>
        <w:tc>
          <w:tcPr>
            <w:tcW w:type="dxa" w:w="2880"/>
          </w:tcPr>
          <w:p>
            <w:r>
              <w:t>Tech Lead binnen 24 h</w:t>
            </w:r>
          </w:p>
        </w:tc>
      </w:tr>
      <w:tr>
        <w:tc>
          <w:tcPr>
            <w:tcW w:type="dxa" w:w="2880"/>
          </w:tcPr>
          <w:p>
            <w:r>
              <w:t>MISRA Mandatory Violation</w:t>
            </w:r>
          </w:p>
        </w:tc>
        <w:tc>
          <w:tcPr>
            <w:tcW w:type="dxa" w:w="2880"/>
          </w:tcPr>
          <w:p>
            <w:r>
              <w:t>Build-Stopp; Refactoring</w:t>
            </w:r>
          </w:p>
        </w:tc>
        <w:tc>
          <w:tcPr>
            <w:tcW w:type="dxa" w:w="2880"/>
          </w:tcPr>
          <w:p>
            <w:r>
              <w:t>Tech Lead + QM binnen 24 h</w:t>
            </w:r>
          </w:p>
        </w:tc>
      </w:tr>
      <w:tr>
        <w:tc>
          <w:tcPr>
            <w:tcW w:type="dxa" w:w="2880"/>
          </w:tcPr>
          <w:p>
            <w:r>
              <w:t>Integrationstest-Fehler</w:t>
            </w:r>
          </w:p>
        </w:tc>
        <w:tc>
          <w:tcPr>
            <w:tcW w:type="dxa" w:w="2880"/>
          </w:tcPr>
          <w:p>
            <w:r>
              <w:t>Bug-Ticket + Sprint-Replan</w:t>
            </w:r>
          </w:p>
        </w:tc>
        <w:tc>
          <w:tcPr>
            <w:tcW w:type="dxa" w:w="2880"/>
          </w:tcPr>
          <w:p>
            <w:r>
              <w:t>PL + QM binnen 48 h</w:t>
            </w:r>
          </w:p>
        </w:tc>
      </w:tr>
      <w:tr>
        <w:tc>
          <w:tcPr>
            <w:tcW w:type="dxa" w:w="2880"/>
          </w:tcPr>
          <w:p>
            <w:r>
              <w:t>HiL-Test EMV-Fehler</w:t>
            </w:r>
          </w:p>
        </w:tc>
        <w:tc>
          <w:tcPr>
            <w:tcW w:type="dxa" w:w="2880"/>
          </w:tcPr>
          <w:p>
            <w:r>
              <w:t>FSE-Review + Mitigation</w:t>
            </w:r>
          </w:p>
        </w:tc>
        <w:tc>
          <w:tcPr>
            <w:tcW w:type="dxa" w:w="2880"/>
          </w:tcPr>
          <w:p>
            <w:r>
              <w:t>FSE-Manager + QM binnen 5 AT</w:t>
            </w:r>
          </w:p>
        </w:tc>
      </w:tr>
      <w:tr>
        <w:tc>
          <w:tcPr>
            <w:tcW w:type="dxa" w:w="2880"/>
          </w:tcPr>
          <w:p>
            <w:r>
              <w:t>Sicherheitsrelevante Findings</w:t>
            </w:r>
          </w:p>
        </w:tc>
        <w:tc>
          <w:tcPr>
            <w:tcW w:type="dxa" w:w="2880"/>
          </w:tcPr>
          <w:p>
            <w:r>
              <w:t>Sofort-Stopp; Field-Action-Pruefung</w:t>
            </w:r>
          </w:p>
        </w:tc>
        <w:tc>
          <w:tcPr>
            <w:tcW w:type="dxa" w:w="2880"/>
          </w:tcPr>
          <w:p>
            <w:r>
              <w:t>GF + Group QM</w:t>
            </w:r>
          </w:p>
        </w:tc>
      </w:tr>
    </w:tbl>
    <w:p>
      <w:pPr>
        <w:pStyle w:val="Heading3"/>
      </w:pPr>
      <w:r>
        <w:t>Aenderungsmanagement</w:t>
      </w:r>
    </w:p>
    <w:p>
      <w:r>
        <w:t>Jede Aenderung am Control Plan ist ueber Change-Request im ASPICE-Tool (Polarion) zu beantragen und wird durch das CCB (Change Control Board: GF, QM, Tech Lead, Anforderungsmanager) bewertet und freigegeben. Aenderungen werden in der QM-Akte (Polarion Space 'RSG-QM') dokumentiert. Dieser Control Plan tritt zum 01.01.2023 in Kraft und ersetzt die Vorgaengerversion v2.4 vom 15.07.2022. Das naechste planmaessige Review erfolgt am 15.01.2024.</w:t>
      </w:r>
    </w:p>
    <w:p>
      <w:pPr>
        <w:pStyle w:val="Heading3"/>
      </w:pPr>
      <w:r>
        <w:t>Freigabe</w:t>
      </w:r>
    </w:p>
    <w:p>
      <w:r>
        <w:t>Ort, Datum: Muenchen, den 20. Dezember 2022</w:t>
      </w:r>
    </w:p>
    <w:p>
      <w:r>
        <w:t>_________________________            _________________________</w:t>
        <w:br/>
        <w:t>Dr. Sabrina Halbig                          Dr. Klaus Kessler</w:t>
        <w:br/>
        <w:t>Qualitaetsmanagement-Leitung                          Geschaeftsfuehrer</w:t>
        <w:br/>
        <w:t>Brennhagen Software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