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Q1/2019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Q1/2019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Q1/2019</w:t>
      </w:r>
    </w:p>
    <w:p>
      <w:pPr>
        <w:pStyle w:val="Heading3"/>
      </w:pPr>
      <w:r>
        <w:t>Finanz-Kennzahlen RSG (2019)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Q1/2019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1.55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13.1 %</w:t>
            </w:r>
          </w:p>
        </w:tc>
        <w:tc>
          <w:tcPr>
            <w:tcW w:type="dxa" w:w="2160"/>
          </w:tcPr>
          <w:p>
            <w:r>
              <w:t>12.3 %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Q1/2019 verzeichnete die Brennhagen Software GmbH eine planmaessige Geschaeftsentwicklung. Der Umsatz von 11.8 Mio. EUR liegt 2 % oberhalb des Budgetwerts und 8,7 % ueber dem Vorjahresquartal. Treiber sind insbesondere die OEM-Ramp-up-Projekte fuer ADAS-V4D und BMS-12. Die EBIT-Marge von 13.1 % entspricht dem Ziel (&gt;= 14 %). Der Personalstand stieg auf 268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ICP-3 Release 5.2 (BMW iX) - planmaessige Auslieferung 15.03.</w:t>
      </w:r>
    </w:p>
    <w:p>
      <w:pPr>
        <w:pStyle w:val="ListBullet"/>
      </w:pPr>
      <w:r>
        <w:t>BMS-12 Konzeptphase fuer VW MEB-Plattform - Gate 2 erreicht</w:t>
      </w:r>
    </w:p>
    <w:p>
      <w:pPr>
        <w:pStyle w:val="ListBullet"/>
      </w:pPr>
      <w:r>
        <w:t>ADAS-V4D Forschungspartnerschaft mit TU Muenchen gestartet (KI-Radar-Fusion)</w:t>
      </w:r>
    </w:p>
    <w:p>
      <w:pPr>
        <w:pStyle w:val="ListBullet"/>
      </w:pPr>
      <w:r>
        <w:t>ASPICE Re-Assessment Vorbereitung (geplant Q3/2019)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Maerz 2019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