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Q2/2019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Q2/2019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Q2/2019</w:t>
      </w:r>
    </w:p>
    <w:p>
      <w:pPr>
        <w:pStyle w:val="Heading3"/>
      </w:pPr>
      <w:r>
        <w:t>Finanz-Kennzahlen RSG (2019)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Q2/2019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1.43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13.5 %</w:t>
            </w:r>
          </w:p>
        </w:tc>
        <w:tc>
          <w:tcPr>
            <w:tcW w:type="dxa" w:w="2160"/>
          </w:tcPr>
          <w:p>
            <w:r>
              <w:t>12.7 %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Q2/2019 verzeichnete die Brennhagen Software GmbH eine planmaessige Geschaeftsentwicklung. Der Umsatz von 12.4 Mio. EUR liegt 2 % oberhalb des Budgetwerts und 8,7 % ueber dem Vorjahresquartal. Treiber sind insbesondere die OEM-Ramp-up-Projekte fuer ADAS-V4D und BMS-12. Die EBIT-Marge von 13.5 % entspricht dem Ziel (&gt;= 14 %). Der Personalstand stieg auf 274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ECU-900 Series-Bring-up Stellantis (FIAT 500e) - Erstauslieferung 11.05.</w:t>
      </w:r>
    </w:p>
    <w:p>
      <w:pPr>
        <w:pStyle w:val="ListBullet"/>
      </w:pPr>
      <w:r>
        <w:t>BMS-12 Detail-Design abgeschlossen - Start Implementierung</w:t>
      </w:r>
    </w:p>
    <w:p>
      <w:pPr>
        <w:pStyle w:val="ListBullet"/>
      </w:pPr>
      <w:r>
        <w:t>Erweiterung HiL-Labor um 3 neue Pruefplaetze (Investition 0,8 Mio. EUR)</w:t>
      </w:r>
    </w:p>
    <w:p>
      <w:pPr>
        <w:pStyle w:val="ListBullet"/>
      </w:pPr>
      <w:r>
        <w:t>Kooperation Continental fuer Radar-Frontend ARS510 vertraglich fixiert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Juni 2019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