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Q3/2019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Q3/2019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Q3/2019</w:t>
      </w:r>
    </w:p>
    <w:p>
      <w:pPr>
        <w:pStyle w:val="Heading3"/>
      </w:pPr>
      <w:r>
        <w:t>Finanz-Kennzahlen RSG (2019)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Q3/2019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1.51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13.8 %</w:t>
            </w:r>
          </w:p>
        </w:tc>
        <w:tc>
          <w:tcPr>
            <w:tcW w:type="dxa" w:w="2160"/>
          </w:tcPr>
          <w:p>
            <w:r>
              <w:t>13.0 %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Q3/2019 verzeichnete die Brennhagen Software GmbH eine planmaessige Geschaeftsentwicklung. Der Umsatz von 12.9 Mio. EUR liegt 2 % oberhalb des Budgetwerts und 8,7 % ueber dem Vorjahresquartal. Treiber sind insbesondere die OEM-Ramp-up-Projekte fuer ADAS-V4D und BMS-12. Die EBIT-Marge von 13.8 % entspricht dem Ziel (&gt;= 14 %). Der Personalstand stieg auf 281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ASPICE Level 2 Re-Assessment durch ProcessExcellence Consulting - 'consistently performed' bestaetigt</w:t>
      </w:r>
    </w:p>
    <w:p>
      <w:pPr>
        <w:pStyle w:val="ListBullet"/>
      </w:pPr>
      <w:r>
        <w:t>ICP-3 Release 5.3 mit OTA-Faehigkeit - erste BMW-OTA-Welle ausgespielt</w:t>
      </w:r>
    </w:p>
    <w:p>
      <w:pPr>
        <w:pStyle w:val="ListBullet"/>
      </w:pPr>
      <w:r>
        <w:t>ADAS-V4D Konzept-Bewertung mit Mercedes-Benz (Sindelfingen) - Eingang Pilotauftrag</w:t>
      </w:r>
    </w:p>
    <w:p>
      <w:pPr>
        <w:pStyle w:val="ListBullet"/>
      </w:pPr>
      <w:r>
        <w:t>Stellenaufbau: 7 neue Senior-Engineer-Einstellungen im Quartal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September 2019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