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Quartalsbericht RSG Q4/2019</w:t>
      </w:r>
    </w:p>
    <w:p>
      <w:pPr>
        <w:jc w:val="center"/>
      </w:pPr>
      <w:r>
        <w:t>Intern - Bericht der Geschaeftsfuehrung RSG an die Konzern-Steuerung Brennhagen Elektronik AG</w:t>
      </w:r>
    </w:p>
    <w:p/>
    <w:p>
      <w:pPr>
        <w:pStyle w:val="Heading3"/>
      </w:pPr>
      <w:r>
        <w:t>Berichtsuebersicht</w:t>
      </w:r>
    </w:p>
    <w:p>
      <w:r>
        <w:t>Berichtsperiode: Q4/2019</w:t>
        <w:br/>
        <w:t>Berichtende Gesellschaft: Brennhagen Software GmbH, Muenchen (HRB 319872)</w:t>
        <w:br/>
        <w:t>Berichtsempfaenger: COO REA (Dr. Thomas Weber), CFO REA (Laura Bauer), Group Controlling (F. Maier)</w:t>
        <w:br/>
        <w:t>Berichtsverfasser: Dr. Klaus Kessler (GF RSG), Christine Weidinger (Controlling RSG)</w:t>
        <w:br/>
        <w:t>Stand: Ende Q4/2019</w:t>
      </w:r>
    </w:p>
    <w:p>
      <w:pPr>
        <w:pStyle w:val="Heading3"/>
      </w:pPr>
      <w:r>
        <w:t>Finanz-Kennzahlen RSG (2019)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Q4/2019</w:t>
            </w:r>
          </w:p>
        </w:tc>
        <w:tc>
          <w:tcPr>
            <w:tcW w:type="dxa" w:w="2160"/>
          </w:tcPr>
          <w:p>
            <w:r>
              <w:t>Vorjahr (PY)</w:t>
            </w:r>
          </w:p>
        </w:tc>
        <w:tc>
          <w:tcPr>
            <w:tcW w:type="dxa" w:w="2160"/>
          </w:tcPr>
          <w:p>
            <w:r>
              <w:t>Abweichung %</w:t>
            </w:r>
          </w:p>
        </w:tc>
      </w:tr>
      <w:tr>
        <w:tc>
          <w:tcPr>
            <w:tcW w:type="dxa" w:w="2160"/>
          </w:tcPr>
          <w:p>
            <w:r>
              <w:t>Umsatz (Mio. EUR)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  <w:tc>
          <w:tcPr>
            <w:tcW w:type="dxa" w:w="2160"/>
          </w:tcPr>
          <w:p>
            <w:r>
              <w:t>12.4</w:t>
            </w:r>
          </w:p>
        </w:tc>
        <w:tc>
          <w:tcPr>
            <w:tcW w:type="dxa" w:w="2160"/>
          </w:tcPr>
          <w:p>
            <w:r>
              <w:t>+8,7 %</w:t>
            </w:r>
          </w:p>
        </w:tc>
      </w:tr>
      <w:tr>
        <w:tc>
          <w:tcPr>
            <w:tcW w:type="dxa" w:w="2160"/>
          </w:tcPr>
          <w:p>
            <w:r>
              <w:t>EBIT (Mio. EUR)</w:t>
            </w:r>
          </w:p>
        </w:tc>
        <w:tc>
          <w:tcPr>
            <w:tcW w:type="dxa" w:w="2160"/>
          </w:tcPr>
          <w:p>
            <w:r>
              <w:t>1.92</w:t>
            </w:r>
          </w:p>
        </w:tc>
        <w:tc>
          <w:tcPr>
            <w:tcW w:type="dxa" w:w="2160"/>
          </w:tcPr>
          <w:p>
            <w:r>
              <w:t>1.63</w:t>
            </w:r>
          </w:p>
        </w:tc>
        <w:tc>
          <w:tcPr>
            <w:tcW w:type="dxa" w:w="2160"/>
          </w:tcPr>
          <w:p>
            <w:r>
              <w:t>+17,6 %</w:t>
            </w:r>
          </w:p>
        </w:tc>
      </w:tr>
      <w:tr>
        <w:tc>
          <w:tcPr>
            <w:tcW w:type="dxa" w:w="2160"/>
          </w:tcPr>
          <w:p>
            <w:r>
              <w:t>EBIT-Marge (%)</w:t>
            </w:r>
          </w:p>
        </w:tc>
        <w:tc>
          <w:tcPr>
            <w:tcW w:type="dxa" w:w="2160"/>
          </w:tcPr>
          <w:p>
            <w:r>
              <w:t>14.2 %</w:t>
            </w:r>
          </w:p>
        </w:tc>
        <w:tc>
          <w:tcPr>
            <w:tcW w:type="dxa" w:w="2160"/>
          </w:tcPr>
          <w:p>
            <w:r>
              <w:t>13.4 %</w:t>
            </w:r>
          </w:p>
        </w:tc>
        <w:tc>
          <w:tcPr>
            <w:tcW w:type="dxa" w:w="2160"/>
          </w:tcPr>
          <w:p>
            <w:r>
              <w:t>+0,9 pp</w:t>
            </w:r>
          </w:p>
        </w:tc>
      </w:tr>
      <w:tr>
        <w:tc>
          <w:tcPr>
            <w:tcW w:type="dxa" w:w="2160"/>
          </w:tcPr>
          <w:p>
            <w:r>
              <w:t>Mitarbeiter (FTE, Periodenende)</w:t>
            </w:r>
          </w:p>
        </w:tc>
        <w:tc>
          <w:tcPr>
            <w:tcW w:type="dxa" w:w="2160"/>
          </w:tcPr>
          <w:p>
            <w:r>
              <w:t>287</w:t>
            </w:r>
          </w:p>
        </w:tc>
        <w:tc>
          <w:tcPr>
            <w:tcW w:type="dxa" w:w="2160"/>
          </w:tcPr>
          <w:p>
            <w:r>
              <w:t>269</w:t>
            </w:r>
          </w:p>
        </w:tc>
        <w:tc>
          <w:tcPr>
            <w:tcW w:type="dxa" w:w="2160"/>
          </w:tcPr>
          <w:p>
            <w:r>
              <w:t>+6 %</w:t>
            </w:r>
          </w:p>
        </w:tc>
      </w:tr>
      <w:tr>
        <w:tc>
          <w:tcPr>
            <w:tcW w:type="dxa" w:w="2160"/>
          </w:tcPr>
          <w:p>
            <w:r>
              <w:t>Konzern-IC-Anteil am Umsatz</w:t>
            </w:r>
          </w:p>
        </w:tc>
        <w:tc>
          <w:tcPr>
            <w:tcW w:type="dxa" w:w="2160"/>
          </w:tcPr>
          <w:p>
            <w:r>
              <w:t>ca. 35 %</w:t>
            </w:r>
          </w:p>
        </w:tc>
        <w:tc>
          <w:tcPr>
            <w:tcW w:type="dxa" w:w="2160"/>
          </w:tcPr>
          <w:p>
            <w:r>
              <w:t>ca. 32 %</w:t>
            </w:r>
          </w:p>
        </w:tc>
        <w:tc>
          <w:tcPr>
            <w:tcW w:type="dxa" w:w="2160"/>
          </w:tcPr>
          <w:p>
            <w:r>
              <w:t>+3 pp</w:t>
            </w:r>
          </w:p>
        </w:tc>
      </w:tr>
    </w:tbl>
    <w:p>
      <w:pPr>
        <w:pStyle w:val="Heading3"/>
      </w:pPr>
      <w:r>
        <w:t>Operative Entwicklung im Quartal</w:t>
      </w:r>
    </w:p>
    <w:p>
      <w:r>
        <w:t>Im Q4/2019 verzeichnete die Brennhagen Software GmbH eine planmaessige Geschaeftsentwicklung. Der Umsatz von 13.5 Mio. EUR liegt 2 % oberhalb des Budgetwerts und 8,7 % ueber dem Vorjahresquartal. Treiber sind insbesondere die OEM-Ramp-up-Projekte fuer ADAS-V4D und BMS-12. Die EBIT-Marge von 14.2 % entspricht dem Ziel (&gt;= 14 %). Der Personalstand stieg auf 287 FTE durch gezielte Einstellungen im Bereich Senior Engineers / ASPICE-Leads.</w:t>
      </w:r>
    </w:p>
    <w:p>
      <w:pPr>
        <w:pStyle w:val="Heading3"/>
      </w:pPr>
      <w:r>
        <w:t>Hauptprojekte im Quartal</w:t>
      </w:r>
    </w:p>
    <w:p>
      <w:pPr>
        <w:pStyle w:val="ListBullet"/>
      </w:pPr>
      <w:r>
        <w:t>BMS-12 SOP fuer VW e-Golf-Restposten - 1.250 Stueck</w:t>
      </w:r>
    </w:p>
    <w:p>
      <w:pPr>
        <w:pStyle w:val="ListBullet"/>
      </w:pPr>
      <w:r>
        <w:t>ICP-3 Release 5.4 - HMI-Ueberarbeitung fuer BMW iX5</w:t>
      </w:r>
    </w:p>
    <w:p>
      <w:pPr>
        <w:pStyle w:val="ListBullet"/>
      </w:pPr>
      <w:r>
        <w:t>ADAS-V4D PRJ-2021-002 als grosses Folgeprojekt vertraglich fixiert (Volumen 5 Mio. EUR)</w:t>
      </w:r>
    </w:p>
    <w:p>
      <w:pPr>
        <w:pStyle w:val="ListBullet"/>
      </w:pPr>
      <w:r>
        <w:t>Jahresabschluss 2019 vorbereitet - Umsatz 50,6 Mio. EUR (+12 % yoy)</w:t>
      </w:r>
    </w:p>
    <w:p>
      <w:pPr>
        <w:pStyle w:val="Heading3"/>
      </w:pPr>
      <w:r>
        <w:t>Risiken / Issues</w:t>
      </w:r>
    </w:p>
    <w:p>
      <w:pPr>
        <w:pStyle w:val="ListBullet"/>
      </w:pPr>
      <w:r>
        <w:t>Engpass bei Senior Embedded Software Engineers im Muenchner Arbeitsmarkt - 14 offene Vakanzen, durchschnittliche Time-to-Hire 4,5 Monate. Gegenmassnahme: Recruiting in Polen / Tschechien (Remote-Modell) sowie Hochschulkooperation TU Muenchen.</w:t>
      </w:r>
    </w:p>
    <w:p>
      <w:pPr>
        <w:pStyle w:val="ListBullet"/>
      </w:pPr>
      <w:r>
        <w:t>Verschiebung Mercedes-Benz Linienanlauf EQE um 4 Wochen (Hardware-Verzug bei Lieferant Continental) - geringe Auswirkung auf Q-Umsatz (&lt; 0,3 Mio. EUR).</w:t>
      </w:r>
    </w:p>
    <w:p>
      <w:pPr>
        <w:pStyle w:val="ListBullet"/>
      </w:pPr>
      <w:r>
        <w:t>Lizenzkosten Vector CANoe / CANalyzer steigen 2020 um 6 % - bereits im Budget eingeplant.</w:t>
      </w:r>
    </w:p>
    <w:p>
      <w:pPr>
        <w:pStyle w:val="Heading3"/>
      </w:pPr>
      <w:r>
        <w:t>Ausblick Folge-Quartal</w:t>
      </w:r>
    </w:p>
    <w:p>
      <w:r>
        <w:t>Das Folge-Quartal ist gut abgesichert; das Auftragspolster betraegt 24 Mio. EUR (Coverage &gt; 1,4). Die EBIT-Marge sollte sich angesichts steigender Effizienz im Software-Engineering und der vollstaendigen Auslastung der HiL-Kapazitaeten weiter verbessern. Risiken: Lieferanten-Engpaesse bei OEM-Hardware sowie globale Mikrochip-Knappheit (Auswirkung auf RSG nur mittelbar ueber OEM-Linienanlauf-Termine).</w:t>
      </w:r>
    </w:p>
    <w:p>
      <w:pPr>
        <w:pStyle w:val="Heading3"/>
      </w:pPr>
      <w:r>
        <w:t>Genehmigung</w:t>
      </w:r>
    </w:p>
    <w:p>
      <w:r>
        <w:t>Ort, Datum: Muenchen, den 30. Dezember 2019</w:t>
      </w:r>
    </w:p>
    <w:p>
      <w:r>
        <w:t>_________________________            _________________________</w:t>
        <w:br/>
        <w:t>Dr. Klaus Kessler                          Christine Weidinger</w:t>
        <w:br/>
        <w:t>Geschaeftsfuehrer RSG                          Controlling RSG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