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Q2/2020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Q2/2020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Q2/2020</w:t>
      </w:r>
    </w:p>
    <w:p>
      <w:pPr>
        <w:pStyle w:val="Heading3"/>
      </w:pPr>
      <w:r>
        <w:t>Finanz-Kennzahlen RSG (2020)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Q2/2020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1.82</w:t>
            </w:r>
          </w:p>
        </w:tc>
        <w:tc>
          <w:tcPr>
            <w:tcW w:type="dxa" w:w="2160"/>
          </w:tcPr>
          <w:p>
            <w:r>
              <w:t>1.55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13.8 %</w:t>
            </w:r>
          </w:p>
        </w:tc>
        <w:tc>
          <w:tcPr>
            <w:tcW w:type="dxa" w:w="2160"/>
          </w:tcPr>
          <w:p>
            <w:r>
              <w:t>13.0 %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Q2/2020 verzeichnete die Brennhagen Software GmbH eine planmaessige Geschaeftsentwicklung. Der Umsatz von 13.2 Mio. EUR liegt 2 % oberhalb des Budgetwerts und 8,7 % ueber dem Vorjahresquartal. Treiber sind insbesondere die OEM-Ramp-up-Projekte fuer ADAS-V4D und BMS-12. Die EBIT-Marge von 13.8 % entspricht dem Ziel (&gt;= 14 %). Der Personalstand stieg auf 295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Umsatzrueckgang ggue. Q1 (-4 %) durch OEM-Werksschliessungen (April/Mai); ICP-3 + ECU-900 betroffen</w:t>
      </w:r>
    </w:p>
    <w:p>
      <w:pPr>
        <w:pStyle w:val="ListBullet"/>
      </w:pPr>
      <w:r>
        <w:t>Kurzarbeit fuer Bereich 'Validation' (50 MA) im Mai (60 % Reduktion) - aufgehoben Ende Juni</w:t>
      </w:r>
    </w:p>
    <w:p>
      <w:pPr>
        <w:pStyle w:val="ListBullet"/>
      </w:pPr>
      <w:r>
        <w:t>ADAS-V4D weiter im Plan, Mercedes-Engineering vollstaendig im Home-Office produktiv</w:t>
      </w:r>
    </w:p>
    <w:p>
      <w:pPr>
        <w:pStyle w:val="ListBullet"/>
      </w:pPr>
      <w:r>
        <w:t>Cyber-Security-Audit nach ISO/SAE 21434 (in Entwicklung) durch TUEV SUED gestartet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Juni 2020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