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Software GmbH</w:t>
      </w:r>
    </w:p>
    <w:p>
      <w:r>
        <w:rPr>
          <w:sz w:val="18"/>
        </w:rPr>
        <w:t>Lyonel-Feininger-Strasse 28, 80807 Muenchen  |  HRB 319872, Amtsgericht Muenchen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Mietvertrag - Betriebsgelaende Lyonel-Feininger-Strasse 28, Muenchen</w:t>
      </w:r>
    </w:p>
    <w:p>
      <w:pPr>
        <w:jc w:val="center"/>
      </w:pPr>
      <w:r>
        <w:t>Geschaeftsraummietvertrag zwischen ABG Bavaria Immobilien GmbH und Brennhagen Software GmbH</w:t>
      </w:r>
    </w:p>
    <w:p/>
    <w:p>
      <w:pPr>
        <w:pStyle w:val="Heading3"/>
      </w:pPr>
      <w:r>
        <w:t>Vertragsparteien</w:t>
      </w:r>
    </w:p>
    <w:p>
      <w:r>
        <w:t>Vermieterin: ABG Bavaria Immobilien GmbH, Leopoldstrasse 244, 80807 Muenchen, eingetragen im Handelsregister des Amtsgerichts Muenchen unter HRB 142587, vertreten durch die Geschaeftsfuehrer Martin Schreiner und Dr. Eva Lindner (nachfolgend 'Vermieterin').</w:t>
      </w:r>
    </w:p>
    <w:p>
      <w:r>
        <w:t>Mieterin: Brennhagen Software GmbH, Lyonel-Feininger-Strasse 28, 80807 Muenchen (HRB 319872, Amtsgericht Muenchen), vertreten durch den Geschaeftsfuehrer Dr. Klaus Kessler (nachfolgend 'Mieterin').</w:t>
      </w:r>
    </w:p>
    <w:p>
      <w:pPr>
        <w:pStyle w:val="Heading3"/>
      </w:pPr>
      <w:r>
        <w:t>Mietobjekt</w:t>
      </w:r>
    </w:p>
    <w:p>
      <w:r>
        <w:t>Vermietet werden die gewerblichen Geschaeftsraeume im Buerogebaeude Lyonel-Feininger-Strasse 28, 80807 Muenchen, bestehend aus:</w:t>
      </w:r>
    </w:p>
    <w:p>
      <w:r>
        <w:t>- 4. Obergeschoss (gesamtes Stockwerk), ca. 1.850 m² Buerofflaeche</w:t>
        <w:br/>
        <w:t>- 5. Obergeschoss (gesamtes Stockwerk), ca. 1.850 m² Buerofflaeche</w:t>
        <w:br/>
        <w:t>- 6. Obergeschoss (Teilflaeche Nord-Ost), ca. 920 m² Labor-/HiL-Flaeche</w:t>
        <w:br/>
        <w:t>- Tiefgaragenstellplaetze Nr. T-141 bis T-225 (insgesamt 85 Stellplaetze)</w:t>
        <w:br/>
        <w:t>- 12 E-Ladestationen (Wallboxen 22 kW) - Investition Mieterin</w:t>
      </w:r>
    </w:p>
    <w:p>
      <w:r>
        <w:t>Gesamtmietflaeche: 4.620 m². Mietzweck: Buero-, Software-Entwicklungs- und HiL-Laborraeume.</w:t>
      </w:r>
    </w:p>
    <w:p>
      <w:pPr>
        <w:pStyle w:val="Heading3"/>
      </w:pPr>
      <w:r>
        <w:t>Vertragsregelungen</w:t>
      </w:r>
    </w:p>
    <w:p>
      <w:pPr>
        <w:pStyle w:val="Heading4"/>
      </w:pPr>
      <w:r>
        <w:t>§ 1 Mietzeit</w:t>
      </w:r>
    </w:p>
    <w:p>
      <w:r>
        <w:rPr>
          <w:b/>
        </w:rPr>
        <w:t xml:space="preserve">(1) </w:t>
      </w:r>
      <w:r>
        <w:t>Das Mietverhaeltnis beginnt am 01.07.2020 und wird auf bestimmte Zeit von zehn (10) Jahren geschlossen. Es endet ohne Kuendigung am 30.06.2030.</w:t>
      </w:r>
    </w:p>
    <w:p>
      <w:r>
        <w:rPr>
          <w:b/>
        </w:rPr>
        <w:t xml:space="preserve">(2) </w:t>
      </w:r>
      <w:r>
        <w:t>Die Mieterin hat das Recht, das Mietverhaeltnis zweimal um jeweils fuenf (5) Jahre zu verlaengern (Option). Die Option ist spaetestens 12 Monate vor Mietende schriftlich auszuueben.</w:t>
      </w:r>
    </w:p>
    <w:p>
      <w:pPr>
        <w:pStyle w:val="Heading4"/>
      </w:pPr>
      <w:r>
        <w:t>§ 2 Mietzins / Nebenkosten</w:t>
      </w:r>
    </w:p>
    <w:p>
      <w:r>
        <w:rPr>
          <w:b/>
        </w:rPr>
        <w:t xml:space="preserve">(1) </w:t>
      </w:r>
      <w:r>
        <w:t>Der monatliche Grundmietzins betraegt zum Mietbeginn 95.700 EUR netto (entspricht ca. 20,71 EUR/m² Buerofflaeche bzw. 24,80 EUR/m² Laborflaeche). Hinzu kommen Nebenkosten (Heizung, Strom, Wasser, Reinigung, Hausmeisterdienst) i. H. v. derzeit 4,80 EUR/m² monatlich, abgerechnet ueber jaehrliche Nebenkostenabrechnung.</w:t>
      </w:r>
    </w:p>
    <w:p>
      <w:r>
        <w:rPr>
          <w:b/>
        </w:rPr>
        <w:t xml:space="preserve">(2) </w:t>
      </w:r>
      <w:r>
        <w:t>Stellplaetze: 95 EUR netto/Monat pro Tiefgaragenplatz (85 Plaetze = 8.075 EUR).</w:t>
      </w:r>
    </w:p>
    <w:p>
      <w:r>
        <w:rPr>
          <w:b/>
        </w:rPr>
        <w:t xml:space="preserve">(3) </w:t>
      </w:r>
      <w:r>
        <w:t>Indexanpassung: Der Mietzins wird jaehrlich zum 01.01. an den Verbraucherpreisindex (VPI) des Statistischen Bundesamts angepasst (Vollindexierung 100 % VPI ab 5 % kumulierter Indexsteigerung; Basis VPI Juni 2020 = 106,1 Punkte).</w:t>
      </w:r>
    </w:p>
    <w:p>
      <w:r>
        <w:rPr>
          <w:b/>
        </w:rPr>
        <w:t xml:space="preserve">(4) </w:t>
      </w:r>
      <w:r>
        <w:t>Die Umsatzsteuer (derzeit 19 %) wird gesondert ausgewiesen.</w:t>
      </w:r>
    </w:p>
    <w:p>
      <w:pPr>
        <w:pStyle w:val="Heading4"/>
      </w:pPr>
      <w:r>
        <w:t>§ 3 Mietsicherheit</w:t>
      </w:r>
    </w:p>
    <w:p>
      <w:r>
        <w:rPr>
          <w:b/>
        </w:rPr>
        <w:t xml:space="preserve">(1) </w:t>
      </w:r>
      <w:r>
        <w:t>Die Mieterin stellt eine Mietbuergschaft der Brennhagen Elektronik AG (Konzernmutter, HRB 726451, Stuttgart) i. H. v. drei (3) Brutto-Monatsmieten (Stand Mietbeginn: 372.260 EUR) zur Verfuegung.</w:t>
      </w:r>
    </w:p>
    <w:p>
      <w:r>
        <w:rPr>
          <w:b/>
        </w:rPr>
        <w:t xml:space="preserve">(2) </w:t>
      </w:r>
      <w:r>
        <w:t>Die Buergschaft ist unbefristet, selbstschuldnerisch und auf erstes Anfordern.</w:t>
      </w:r>
    </w:p>
    <w:p>
      <w:pPr>
        <w:pStyle w:val="Heading4"/>
      </w:pPr>
      <w:r>
        <w:t>§ 4 Uebergabe / Zustand</w:t>
      </w:r>
    </w:p>
    <w:p>
      <w:r>
        <w:rPr>
          <w:b/>
        </w:rPr>
        <w:t xml:space="preserve">(1) </w:t>
      </w:r>
      <w:r>
        <w:t>Die Mietraeume werden bezugsfertig (Ausbau-Standard 'A') gemaess Anlage 3 zum Vertrag (Raumbuch) uebergeben. Der Mietbeginn ist verbunden mit einem Uebergabe-/Abnahmeprotokoll.</w:t>
      </w:r>
    </w:p>
    <w:p>
      <w:r>
        <w:rPr>
          <w:b/>
        </w:rPr>
        <w:t xml:space="preserve">(2) </w:t>
      </w:r>
      <w:r>
        <w:t>Mieterausbauten (z. B. HiL-Laborstaende, Server-Racks, Kantine im 4. OG) erfolgen auf Kosten der Mieterin nach vorheriger Genehmigung durch die Vermieterin.</w:t>
      </w:r>
    </w:p>
    <w:p>
      <w:pPr>
        <w:pStyle w:val="Heading4"/>
      </w:pPr>
      <w:r>
        <w:t>§ 5 Instandhaltung / Schoenheitsreparaturen</w:t>
      </w:r>
    </w:p>
    <w:p>
      <w:r>
        <w:rPr>
          <w:b/>
        </w:rPr>
        <w:t xml:space="preserve">(1) </w:t>
      </w:r>
      <w:r>
        <w:t>Die Vermieterin hat das Gebaeude in gebrauchsfaehigem Zustand zu erhalten (Dach/Fach). Die Mieterin uebernimmt Schoenheitsreparaturen innerhalb der angemieteten Flaechen (Anstrich, Bodenbelaege, Bedarf nach Verschleiss).</w:t>
      </w:r>
    </w:p>
    <w:p>
      <w:r>
        <w:rPr>
          <w:b/>
        </w:rPr>
        <w:t xml:space="preserve">(2) </w:t>
      </w:r>
      <w:r>
        <w:t>Bei Vertragsende ist die Mieterin verpflichtet, die Raeume im uebergabefaehigen Zustand (neutraler Weisanstrich, gereinigt) zurueckzugeben. Rueckbau der Mieterausbauten kann von der Vermieterin verlangt werden.</w:t>
      </w:r>
    </w:p>
    <w:p>
      <w:pPr>
        <w:pStyle w:val="Heading4"/>
      </w:pPr>
      <w:r>
        <w:t>§ 6 Haftung / Versicherung</w:t>
      </w:r>
    </w:p>
    <w:p>
      <w:r>
        <w:rPr>
          <w:b/>
        </w:rPr>
        <w:t xml:space="preserve">(1) </w:t>
      </w:r>
      <w:r>
        <w:t>Die Vermieterin haelt eine Gebaeudeversicherung (Wohngebaeude+Glasbruch+Elementar) bei der Allianz Sachversicherungs-AG vor.</w:t>
      </w:r>
    </w:p>
    <w:p>
      <w:r>
        <w:rPr>
          <w:b/>
        </w:rPr>
        <w:t xml:space="preserve">(2) </w:t>
      </w:r>
      <w:r>
        <w:t>Die Mieterin haelt eine Betriebshaftpflicht- und Inhaltsversicherung (Buero+Labor) vor, Mindestversicherungssumme 5 Mio. EUR pauschal.</w:t>
      </w:r>
    </w:p>
    <w:p>
      <w:pPr>
        <w:pStyle w:val="Heading4"/>
      </w:pPr>
      <w:r>
        <w:t>§ 7 Untervermietung / Konzern</w:t>
      </w:r>
    </w:p>
    <w:p>
      <w:r>
        <w:rPr>
          <w:b/>
        </w:rPr>
        <w:t xml:space="preserve">(1) </w:t>
      </w:r>
      <w:r>
        <w:t>Die Untervermietung an dritte Unternehmen bedarf der schriftlichen Genehmigung der Vermieterin. Die Mitnutzung durch Konzerngesellschaften der Brennhagen Elektronik AG (REA, REG, RHO) ist ohne Genehmigung zulaessig.</w:t>
      </w:r>
    </w:p>
    <w:p>
      <w:r>
        <w:rPr>
          <w:b/>
        </w:rPr>
        <w:t xml:space="preserve">(2) </w:t>
      </w:r>
      <w:r>
        <w:t>Bei einem Kontrollwechsel der Mieterin (Verlust der 100%-Konzernzugehoerigkeit zur REA) hat die Vermieterin ein Sonderkuendigungsrecht mit 12-monatiger Frist.</w:t>
      </w:r>
    </w:p>
    <w:p>
      <w:pPr>
        <w:pStyle w:val="Heading4"/>
      </w:pPr>
      <w:r>
        <w:t>§ 8 Schlussbestimmungen</w:t>
      </w:r>
    </w:p>
    <w:p>
      <w:r>
        <w:rPr>
          <w:b/>
        </w:rPr>
        <w:t xml:space="preserve">(1) </w:t>
      </w:r>
      <w:r>
        <w:t>Aenderungen / Ergaenzungen beduerfen der Schriftform; ebenso die Aufhebung dieses Schriftformerfordernisses. Es gilt deutsches Recht. Gerichtsstand ist Muenchen.</w:t>
      </w:r>
    </w:p>
    <w:p>
      <w:pPr>
        <w:pStyle w:val="Heading3"/>
      </w:pPr>
      <w:r>
        <w:t>Unterschriften</w:t>
      </w:r>
    </w:p>
    <w:p>
      <w:r>
        <w:t>Ort, Datum: Muenchen, den 18. Juni 2020</w:t>
      </w:r>
    </w:p>
    <w:p>
      <w:r>
        <w:t>_________________________            _________________________</w:t>
        <w:br/>
        <w:t>Martin Schreiner                          Dr. Klaus Kessler</w:t>
        <w:br/>
        <w:t>Geschaeftsfuehrer                          Geschaeftsfuehrer</w:t>
        <w:br/>
        <w:t>ABG Bavaria Immobilien GmbH                       Brennhagen Software GmbH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