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Versicherungsnachweis 2023 - Brennhagen Software GmbH</w:t>
      </w:r>
    </w:p>
    <w:p>
      <w:pPr>
        <w:jc w:val="center"/>
      </w:pPr>
      <w:r>
        <w:t>Uebersicht aller laufenden Versicherungsvertraege RSG zum 31.12.2023</w:t>
      </w:r>
    </w:p>
    <w:p/>
    <w:p>
      <w:pPr>
        <w:pStyle w:val="Heading3"/>
      </w:pPr>
      <w:r>
        <w:t>Allgemeine Hinweise</w:t>
      </w:r>
    </w:p>
    <w:p>
      <w:r>
        <w:t>Die Versicherungsstrategie der Brennhagen Software GmbH ist eingebettet in die Konzern-Versicherungsrichtlinie der Brennhagen Elektronik AG (REA-VRL-2022). Die wesentlichen Konzernpolicen (D&amp;O, Cyber, Produkthaftpflicht, Sach-/Betriebsunterbrechung) werden zentral von der Group Treasury (Markus Pflanzer) ueber die Versicherungsmaklerin Marsh GmbH (Frankfurt) verhandelt. Lokale Policen (KFZ-Flotte, Gebaeudehaftpflicht, BG-Beitraege) liegen in Verantwortung der RSG-Geschaeftsfuehrung (Dr. Klaus Kessler).</w:t>
      </w:r>
    </w:p>
    <w:p>
      <w:pPr>
        <w:pStyle w:val="Heading3"/>
      </w:pPr>
      <w:r>
        <w:t>Versicherungs-Portfolio RSG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Sparte</w:t>
            </w:r>
          </w:p>
        </w:tc>
        <w:tc>
          <w:tcPr>
            <w:tcW w:type="dxa" w:w="1728"/>
          </w:tcPr>
          <w:p>
            <w:r>
              <w:t>Versicherer</w:t>
            </w:r>
          </w:p>
        </w:tc>
        <w:tc>
          <w:tcPr>
            <w:tcW w:type="dxa" w:w="1728"/>
          </w:tcPr>
          <w:p>
            <w:r>
              <w:t>Police-Nr.</w:t>
            </w:r>
          </w:p>
        </w:tc>
        <w:tc>
          <w:tcPr>
            <w:tcW w:type="dxa" w:w="1728"/>
          </w:tcPr>
          <w:p>
            <w:r>
              <w:t>VS Mio. EUR</w:t>
            </w:r>
          </w:p>
        </w:tc>
        <w:tc>
          <w:tcPr>
            <w:tcW w:type="dxa" w:w="1728"/>
          </w:tcPr>
          <w:p>
            <w:r>
              <w:t>Praemie p.a.</w:t>
            </w:r>
          </w:p>
        </w:tc>
      </w:tr>
      <w:tr>
        <w:tc>
          <w:tcPr>
            <w:tcW w:type="dxa" w:w="1728"/>
          </w:tcPr>
          <w:p>
            <w:r>
              <w:t>D&amp;O (Konzern)</w:t>
            </w:r>
          </w:p>
        </w:tc>
        <w:tc>
          <w:tcPr>
            <w:tcW w:type="dxa" w:w="1728"/>
          </w:tcPr>
          <w:p>
            <w:r>
              <w:t>Allianz Global Corporate &amp; Specialty SE</w:t>
            </w:r>
          </w:p>
        </w:tc>
        <w:tc>
          <w:tcPr>
            <w:tcW w:type="dxa" w:w="1728"/>
          </w:tcPr>
          <w:p>
            <w:r>
              <w:t>DO-REA-2022-001</w:t>
            </w:r>
          </w:p>
        </w:tc>
        <w:tc>
          <w:tcPr>
            <w:tcW w:type="dxa" w:w="1728"/>
          </w:tcPr>
          <w:p>
            <w:r>
              <w:t>50,0 (Konzern)</w:t>
            </w:r>
          </w:p>
        </w:tc>
        <w:tc>
          <w:tcPr>
            <w:tcW w:type="dxa" w:w="1728"/>
          </w:tcPr>
          <w:p>
            <w:r>
              <w:t>anteilig 32 TEUR</w:t>
            </w:r>
          </w:p>
        </w:tc>
      </w:tr>
      <w:tr>
        <w:tc>
          <w:tcPr>
            <w:tcW w:type="dxa" w:w="1728"/>
          </w:tcPr>
          <w:p>
            <w:r>
              <w:t>Cyber (Konzern)</w:t>
            </w:r>
          </w:p>
        </w:tc>
        <w:tc>
          <w:tcPr>
            <w:tcW w:type="dxa" w:w="1728"/>
          </w:tcPr>
          <w:p>
            <w:r>
              <w:t>AXA XL</w:t>
            </w:r>
          </w:p>
        </w:tc>
        <w:tc>
          <w:tcPr>
            <w:tcW w:type="dxa" w:w="1728"/>
          </w:tcPr>
          <w:p>
            <w:r>
              <w:t>CY-REA-2023-001</w:t>
            </w:r>
          </w:p>
        </w:tc>
        <w:tc>
          <w:tcPr>
            <w:tcW w:type="dxa" w:w="1728"/>
          </w:tcPr>
          <w:p>
            <w:r>
              <w:t>25,0</w:t>
            </w:r>
          </w:p>
        </w:tc>
        <w:tc>
          <w:tcPr>
            <w:tcW w:type="dxa" w:w="1728"/>
          </w:tcPr>
          <w:p>
            <w:r>
              <w:t>anteilig 28 TEUR</w:t>
            </w:r>
          </w:p>
        </w:tc>
      </w:tr>
      <w:tr>
        <w:tc>
          <w:tcPr>
            <w:tcW w:type="dxa" w:w="1728"/>
          </w:tcPr>
          <w:p>
            <w:r>
              <w:t>Produkthaftpflicht</w:t>
            </w:r>
          </w:p>
        </w:tc>
        <w:tc>
          <w:tcPr>
            <w:tcW w:type="dxa" w:w="1728"/>
          </w:tcPr>
          <w:p>
            <w:r>
              <w:t>AIG Europe S.A.</w:t>
            </w:r>
          </w:p>
        </w:tc>
        <w:tc>
          <w:tcPr>
            <w:tcW w:type="dxa" w:w="1728"/>
          </w:tcPr>
          <w:p>
            <w:r>
              <w:t>PHV-RSG-2021-007</w:t>
            </w:r>
          </w:p>
        </w:tc>
        <w:tc>
          <w:tcPr>
            <w:tcW w:type="dxa" w:w="1728"/>
          </w:tcPr>
          <w:p>
            <w:r>
              <w:t>20,0</w:t>
            </w:r>
          </w:p>
        </w:tc>
        <w:tc>
          <w:tcPr>
            <w:tcW w:type="dxa" w:w="1728"/>
          </w:tcPr>
          <w:p>
            <w:r>
              <w:t>85 TEUR</w:t>
            </w:r>
          </w:p>
        </w:tc>
      </w:tr>
      <w:tr>
        <w:tc>
          <w:tcPr>
            <w:tcW w:type="dxa" w:w="1728"/>
          </w:tcPr>
          <w:p>
            <w:r>
              <w:t>Betriebshaftpflicht</w:t>
            </w:r>
          </w:p>
        </w:tc>
        <w:tc>
          <w:tcPr>
            <w:tcW w:type="dxa" w:w="1728"/>
          </w:tcPr>
          <w:p>
            <w:r>
              <w:t>AIG Europe S.A.</w:t>
            </w:r>
          </w:p>
        </w:tc>
        <w:tc>
          <w:tcPr>
            <w:tcW w:type="dxa" w:w="1728"/>
          </w:tcPr>
          <w:p>
            <w:r>
              <w:t>BHV-RSG-2021-008</w:t>
            </w:r>
          </w:p>
        </w:tc>
        <w:tc>
          <w:tcPr>
            <w:tcW w:type="dxa" w:w="1728"/>
          </w:tcPr>
          <w:p>
            <w:r>
              <w:t>10,0</w:t>
            </w:r>
          </w:p>
        </w:tc>
        <w:tc>
          <w:tcPr>
            <w:tcW w:type="dxa" w:w="1728"/>
          </w:tcPr>
          <w:p>
            <w:r>
              <w:t>42 TEUR</w:t>
            </w:r>
          </w:p>
        </w:tc>
      </w:tr>
      <w:tr>
        <w:tc>
          <w:tcPr>
            <w:tcW w:type="dxa" w:w="1728"/>
          </w:tcPr>
          <w:p>
            <w:r>
              <w:t>Sach- / BU-Versicherung</w:t>
            </w:r>
          </w:p>
        </w:tc>
        <w:tc>
          <w:tcPr>
            <w:tcW w:type="dxa" w:w="1728"/>
          </w:tcPr>
          <w:p>
            <w:r>
              <w:t>Allianz Sach-Versicherungs-AG</w:t>
            </w:r>
          </w:p>
        </w:tc>
        <w:tc>
          <w:tcPr>
            <w:tcW w:type="dxa" w:w="1728"/>
          </w:tcPr>
          <w:p>
            <w:r>
              <w:t>SACH-RSG-2020-003</w:t>
            </w:r>
          </w:p>
        </w:tc>
        <w:tc>
          <w:tcPr>
            <w:tcW w:type="dxa" w:w="1728"/>
          </w:tcPr>
          <w:p>
            <w:r>
              <w:t>30,0</w:t>
            </w:r>
          </w:p>
        </w:tc>
        <w:tc>
          <w:tcPr>
            <w:tcW w:type="dxa" w:w="1728"/>
          </w:tcPr>
          <w:p>
            <w:r>
              <w:t>125 TEUR</w:t>
            </w:r>
          </w:p>
        </w:tc>
      </w:tr>
      <w:tr>
        <w:tc>
          <w:tcPr>
            <w:tcW w:type="dxa" w:w="1728"/>
          </w:tcPr>
          <w:p>
            <w:r>
              <w:t>Elektronik-Versicherung</w:t>
            </w:r>
          </w:p>
        </w:tc>
        <w:tc>
          <w:tcPr>
            <w:tcW w:type="dxa" w:w="1728"/>
          </w:tcPr>
          <w:p>
            <w:r>
              <w:t>HDI Global SE</w:t>
            </w:r>
          </w:p>
        </w:tc>
        <w:tc>
          <w:tcPr>
            <w:tcW w:type="dxa" w:w="1728"/>
          </w:tcPr>
          <w:p>
            <w:r>
              <w:t>EL-RSG-2022-014</w:t>
            </w:r>
          </w:p>
        </w:tc>
        <w:tc>
          <w:tcPr>
            <w:tcW w:type="dxa" w:w="1728"/>
          </w:tcPr>
          <w:p>
            <w:r>
              <w:t>8,0 (Inhalt)</w:t>
            </w:r>
          </w:p>
        </w:tc>
        <w:tc>
          <w:tcPr>
            <w:tcW w:type="dxa" w:w="1728"/>
          </w:tcPr>
          <w:p>
            <w:r>
              <w:t>38 TEUR</w:t>
            </w:r>
          </w:p>
        </w:tc>
      </w:tr>
      <w:tr>
        <w:tc>
          <w:tcPr>
            <w:tcW w:type="dxa" w:w="1728"/>
          </w:tcPr>
          <w:p>
            <w:r>
              <w:t>KFZ-Flotte (24 Fahrzeuge)</w:t>
            </w:r>
          </w:p>
        </w:tc>
        <w:tc>
          <w:tcPr>
            <w:tcW w:type="dxa" w:w="1728"/>
          </w:tcPr>
          <w:p>
            <w:r>
              <w:t>HUK-COBURG</w:t>
            </w:r>
          </w:p>
        </w:tc>
        <w:tc>
          <w:tcPr>
            <w:tcW w:type="dxa" w:w="1728"/>
          </w:tcPr>
          <w:p>
            <w:r>
              <w:t>FLOTTE-RSG-2019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62 TEUR</w:t>
            </w:r>
          </w:p>
        </w:tc>
      </w:tr>
      <w:tr>
        <w:tc>
          <w:tcPr>
            <w:tcW w:type="dxa" w:w="1728"/>
          </w:tcPr>
          <w:p>
            <w:r>
              <w:t>Rechtsschutz (gewerblich)</w:t>
            </w:r>
          </w:p>
        </w:tc>
        <w:tc>
          <w:tcPr>
            <w:tcW w:type="dxa" w:w="1728"/>
          </w:tcPr>
          <w:p>
            <w:r>
              <w:t>ARAG SE</w:t>
            </w:r>
          </w:p>
        </w:tc>
        <w:tc>
          <w:tcPr>
            <w:tcW w:type="dxa" w:w="1728"/>
          </w:tcPr>
          <w:p>
            <w:r>
              <w:t>RS-RSG-2018-002</w:t>
            </w:r>
          </w:p>
        </w:tc>
        <w:tc>
          <w:tcPr>
            <w:tcW w:type="dxa" w:w="1728"/>
          </w:tcPr>
          <w:p>
            <w:r>
              <w:t>0,5 je Fall</w:t>
            </w:r>
          </w:p>
        </w:tc>
        <w:tc>
          <w:tcPr>
            <w:tcW w:type="dxa" w:w="1728"/>
          </w:tcPr>
          <w:p>
            <w:r>
              <w:t>12 TEUR</w:t>
            </w:r>
          </w:p>
        </w:tc>
      </w:tr>
      <w:tr>
        <w:tc>
          <w:tcPr>
            <w:tcW w:type="dxa" w:w="1728"/>
          </w:tcPr>
          <w:p>
            <w:r>
              <w:t>Krankenzusatz (Gruppentarif)</w:t>
            </w:r>
          </w:p>
        </w:tc>
        <w:tc>
          <w:tcPr>
            <w:tcW w:type="dxa" w:w="1728"/>
          </w:tcPr>
          <w:p>
            <w:r>
              <w:t>Allianz Private KV-AG</w:t>
            </w:r>
          </w:p>
        </w:tc>
        <w:tc>
          <w:tcPr>
            <w:tcW w:type="dxa" w:w="1728"/>
          </w:tcPr>
          <w:p>
            <w:r>
              <w:t>GKV-RSG-2020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180 TEUR</w:t>
            </w:r>
          </w:p>
        </w:tc>
      </w:tr>
    </w:tbl>
    <w:p>
      <w:pPr>
        <w:pStyle w:val="Heading3"/>
      </w:pPr>
      <w:r>
        <w:t>D&amp;O-Police - Konzernabdeckung</w:t>
      </w:r>
    </w:p>
    <w:p>
      <w:r>
        <w:t>Die D&amp;O-Versicherung wird von der Konzernmutter Brennhagen Elektronik AG fuer alle Konzerngesellschaften abgeschlossen (Versicherer: Allianz Global Corporate &amp; Specialty SE, Versicherungssumme 50 Mio. EUR pauschal, Selbstbehalt 1 % der VS = 500 TEUR je Schadensfall fuer GF und Aufsichtsorgan, ausgenommen Insolvenzanfechtung). Erstreckungsklausel auf Subsidiary-Boards (also auch GF RSG Dr. Kessler und Vorsitzende ggf. spaeterer Beiraete). Anteiliger Praemienanteil RSG ca. 32 TEUR.</w:t>
      </w:r>
    </w:p>
    <w:p>
      <w:pPr>
        <w:pStyle w:val="Heading3"/>
      </w:pPr>
      <w:r>
        <w:t>Cyber-Versicherung</w:t>
      </w:r>
    </w:p>
    <w:p>
      <w:r>
        <w:t>Konzernpolice gegen Cyber-Risiken (Ransomware, Datenverlust, Betriebsunterbrechung infolge Cyber-Vorfall, Bussgelder DSGVO bis zu 5 Mio. EUR sub-limit). RSG als ADAS-Software-Entwickler ist besonderem Cyber-Risiko ausgesetzt (Risiko-Score Concierge Cyber). Police umfasst auch Incident-Response-Services (Mandiant / Kroll). Schwellenwerte fuer Meldepflicht: 50 TEUR Schaden / 1.000 betroffene Datensaetze.</w:t>
      </w:r>
    </w:p>
    <w:p>
      <w:pPr>
        <w:pStyle w:val="Heading3"/>
      </w:pPr>
      <w:r>
        <w:t>Produkt- und Betriebshaftpflicht</w:t>
      </w:r>
    </w:p>
    <w:p>
      <w:r>
        <w:t>Beide Policen mit AIG Europe S.A. abgeschlossen, Vermittlung durch Marsh. Produkthaftpflicht fokussiert auf Software-Defekte mit Personen-/Sachschadenfolge in Fahrzeugen (typisch: ADAS-Fehlfunktion mit Crash-Folge). Geographischer Geltungsbereich: weltweit ausser USA/CAN (separate Police fuer Auslieferungen in Nordamerika ueber AIG New York). Selbstbehalt 100 TEUR je Fall.</w:t>
      </w:r>
    </w:p>
    <w:p>
      <w:pPr>
        <w:pStyle w:val="Heading3"/>
      </w:pPr>
      <w:r>
        <w:t>Sach-/BU-Versicherung</w:t>
      </w:r>
    </w:p>
    <w:p>
      <w:r>
        <w:t>Allianz-Police fuer die Mietraeume Lyonel-Feininger-Strasse 28 (4./5./6. OG): Inventar (Server, HiL-Pruefstaende, Buero-Equipment) mit VS 30 Mio. EUR; Betriebsunterbrechung Haftzeit 24 Monate. Sublimit fuer einzelnen HiL-Pruefstand: max. 3,5 Mio. EUR (Vector LABCAR). Praemie 125 TEUR p.a., Selbstbehalt 25 TEUR je Schadensfall.</w:t>
      </w:r>
    </w:p>
    <w:p>
      <w:pPr>
        <w:pStyle w:val="Heading3"/>
      </w:pPr>
      <w:r>
        <w:t>Zusicherung</w:t>
      </w:r>
    </w:p>
    <w:p>
      <w:r>
        <w:t>Die Brennhagen Software GmbH bestaetigt die ordnungsgemaesse Praemienzahlung aller vorgenannten Vertraege fuer das Jahr 2023. Es bestehen keine offenen Schadenfaelle oberhalb der Selbstbehalts-Schwelle. Letzte Schadenmeldung: 14.06.2023 (Cyber-Vorfall Phishing-Angriff, kein Datenabfluss bestaetigt, Mandiant-Forensik abgeschlossen, Schaden &lt; 25 TEUR).</w:t>
      </w:r>
    </w:p>
    <w:p>
      <w:pPr>
        <w:pStyle w:val="Heading3"/>
      </w:pPr>
      <w:r>
        <w:t>Unterschrift</w:t>
      </w:r>
    </w:p>
    <w:p>
      <w:r>
        <w:t>Ort, Datum: Muenchen, den 31. Dezember 2023</w:t>
      </w:r>
    </w:p>
    <w:p>
      <w:r>
        <w:t>_________________________            _________________________</w:t>
        <w:br/>
        <w:t>Dr. Klaus Kessler                          Christine Weidinger</w:t>
        <w:br/>
        <w:t>Geschaeftsfuehrer                          Controlling RSG (i.V. Versicherungswesen)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