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RSG-RCZ-202110-001 - RSG an RCZ Brno</w:t>
      </w:r>
    </w:p>
    <w:p>
      <w:pPr>
        <w:jc w:val="center"/>
      </w:pPr>
      <w:r>
        <w:t>Leistungszeitraum Oktober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RSG-RCZ-202110-001</w:t>
        <w:br/>
        <w:t>Rechnungsdatum: 21. Oktober 2021</w:t>
        <w:br/>
        <w:t>Leistungszeitraum: 01. - 30. Oktober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Oktober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SOP-Vorbereitung Stellantis Cassino; Pruefsoftware-Validierung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51.200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25.600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15.360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10.240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102.400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102.400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102.400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