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RSG-RCZ-202202-001 - RSG an RCZ Brno</w:t>
      </w:r>
    </w:p>
    <w:p>
      <w:pPr>
        <w:jc w:val="center"/>
      </w:pPr>
      <w:r>
        <w:t>Leistungszeitraum Februar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RSG-RCZ-202202-001</w:t>
        <w:br/>
        <w:t>Rechnungsdatum: 5. Februar 2022</w:t>
        <w:br/>
        <w:t>Leistungszeitraum: 01. - 28. Februar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Februar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HSC-200-XL Mercedes EQS Anlaufunterstuetzung; MES-Integration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57.850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28.925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17.355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11.570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115.700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115.700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115.700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