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RSG-RCZ-202207-001 - RSG an RCZ Brno</w:t>
      </w:r>
    </w:p>
    <w:p>
      <w:pPr>
        <w:jc w:val="center"/>
      </w:pPr>
      <w:r>
        <w:t>Leistungszeitraum Juli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RSG-RCZ-202207-001</w:t>
        <w:br/>
        <w:t>Rechnungsdatum: 15. Juli 2022</w:t>
        <w:br/>
        <w:t>Leistungszeitraum: 01. - 30. Juli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Juli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Sommerphase - HSC-200 Optimierung Linie 4 (Cycle Time -8 %)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44.350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22.175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13.305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8.870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88.700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88.700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88.700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