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RSG-RCZ-202309-001 - RSG an RCZ Brno</w:t>
      </w:r>
    </w:p>
    <w:p>
      <w:pPr>
        <w:jc w:val="center"/>
      </w:pPr>
      <w:r>
        <w:t>Leistungszeitraum September 2023 -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RSG-RCZ-202309-001</w:t>
        <w:br/>
        <w:t>Rechnungsdatum: 19. September 2023</w:t>
        <w:br/>
        <w:t>Leistungszeitraum: 01. - 30. September 2023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September 2023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MCS-450 SOP Stellantis Tychy (PL); Cross-Charge zwischen Werken (CZ &lt;-&gt; PL)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89.450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44.725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26.835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17.890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178.900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178.900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178.900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