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RSG-RCZ-202311-001 - RSG an RCZ Brno</w:t>
      </w:r>
    </w:p>
    <w:p>
      <w:pPr>
        <w:jc w:val="center"/>
      </w:pPr>
      <w:r>
        <w:t>Leistungszeitraum November 2023 -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RSG-RCZ-202311-001</w:t>
        <w:br/>
        <w:t>Rechnungsdatum: 23. November 2023</w:t>
        <w:br/>
        <w:t>Leistungszeitraum: 01. - 30. November 2023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November 2023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ASPICE-Audit erfolgreich; Final-v2 nach Korrektur Cross-Charge-Verrechnung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96.400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48.200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28.920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19.280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192.800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192.800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192.800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