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RSG-RCZ-202312-001 - RSG an RCZ Brno</w:t>
      </w:r>
    </w:p>
    <w:p>
      <w:pPr>
        <w:jc w:val="center"/>
      </w:pPr>
      <w:r>
        <w:t>Leistungszeitraum Dezember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RSG-RCZ-202312-001</w:t>
        <w:br/>
        <w:t>Rechnungsdatum: 25. Dezember 2023</w:t>
        <w:br/>
        <w:t>Leistungszeitraum: 01. - 30. Dezember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Dezember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Jahresabschluss; Plan-2024 Sprint; HSC-200-Generationenwechsel Konzept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87.800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43.900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26.340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17.560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175.600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175.600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175.600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