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Project Charter PRJ-2022-002 – InfoConnect Pro 4.0 (ICP-4) Generationenwechsel</w:t>
      </w:r>
    </w:p>
    <w:p>
      <w:pPr>
        <w:jc w:val="center"/>
      </w:pPr>
      <w:r>
        <w:t>Konzern-Innovationsprojekt Infotainment-Generation 4.0 (Folgegeneration ICP-3)</w:t>
      </w:r>
    </w:p>
    <w:p/>
    <w:p>
      <w:pPr>
        <w:pStyle w:val="Heading3"/>
      </w:pPr>
      <w:r>
        <w:t>Projekt-Kurzbeschreibung</w:t>
      </w:r>
    </w:p>
    <w:p>
      <w:r>
        <w:t>Das Projekt PRJ-2022-002 (InfoConnect Pro 4.0, kurz »ICP-4«) ist die Folgegeneration des heutigen Infotainment-Moduls ICP-3 mit Sprung von Qualcomm Snapdragon 820A auf die Plattform Snapdragon Ride SA8775P (Aufrueststufe). Zielmaerkte: BMW Neue Klasse (SOP 2025), Mercedes MMA-Plattform (SOP 2026), Audi PPE/PPC (Option). Lead-Werk Serie: Brennhagen Polska Sp. z o.o. (Katowice, Linien 1 und 8). Software-Lead: Brennhagen Software GmbH (Muenchen).</w:t>
      </w:r>
    </w:p>
    <w:p>
      <w:pPr>
        <w:pStyle w:val="Heading3"/>
      </w:pPr>
      <w:r>
        <w:t>Projektziele</w:t>
      </w:r>
    </w:p>
    <w:p>
      <w:pPr>
        <w:pStyle w:val="ListBullet"/>
      </w:pPr>
      <w:r>
        <w:t>Time-to-Market: PPAP Submission B-Probe Q1/2024, SOP BMW Q2/2025</w:t>
      </w:r>
    </w:p>
    <w:p>
      <w:pPr>
        <w:pStyle w:val="ListBullet"/>
      </w:pPr>
      <w:r>
        <w:t>Performance-Sprung: GPU 3,5x, NPU 8x ggue. ICP-3 (Stichworte: AI-In-Cabin, AR-HUD)</w:t>
      </w:r>
    </w:p>
    <w:p>
      <w:pPr>
        <w:pStyle w:val="ListBullet"/>
      </w:pPr>
      <w:r>
        <w:t>Kostensenkung: Materialkosten -12 % je Einheit (BOM-Optimierung, Konzern-Sourcing)</w:t>
      </w:r>
    </w:p>
    <w:p>
      <w:pPr>
        <w:pStyle w:val="ListBullet"/>
      </w:pPr>
      <w:r>
        <w:t>Energieeffizienz: durchschnittliche Leistung -22 %, Standby -40 %</w:t>
      </w:r>
    </w:p>
    <w:p>
      <w:pPr>
        <w:pStyle w:val="ListBullet"/>
      </w:pPr>
      <w:r>
        <w:t>Cybersecurity: UNECE R155/R156 Compliance, ISO/SAE 21434 ab Tag 1</w:t>
      </w:r>
    </w:p>
    <w:p>
      <w:pPr>
        <w:pStyle w:val="ListBullet"/>
      </w:pPr>
      <w:r>
        <w:t>Plattform-Reuse: 75 % Software-Module aus ICP-3 / Yocto-Linux Basis</w:t>
      </w:r>
    </w:p>
    <w:p>
      <w:pPr>
        <w:pStyle w:val="Heading3"/>
      </w:pPr>
      <w:r>
        <w:t>Projektorganisation</w:t>
      </w:r>
    </w:p>
    <w:p>
      <w:r>
        <w:t>Projektleitung: Dr. Petra Hollmann (kommend CTO ab 1.7.2024, vorerst als Programm-Sponsor). Operativer PM: Lars Wittmann (RSG, Lead Developer). Werk-Fuehrung (RPL Katowice): Marek Wojciechowski / Krzysztof Nowak. Qualitaet: Sabine Brand (REG Q-Leitung). Account-Lead BMW: Stefan Richter (CMO/BD). Steering Committee tagt monatlich; Stage-Gates G0..G6 gemaess Konzern-PEP.</w:t>
      </w:r>
    </w:p>
    <w:p>
      <w:pPr>
        <w:pStyle w:val="Heading3"/>
      </w:pPr>
      <w:r>
        <w:t>Meilensteinplan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Zieltermin</w:t>
            </w:r>
          </w:p>
        </w:tc>
      </w:tr>
      <w:tr>
        <w:tc>
          <w:tcPr>
            <w:tcW w:type="dxa" w:w="2880"/>
          </w:tcPr>
          <w:p>
            <w:r>
              <w:t>G0</w:t>
            </w:r>
          </w:p>
        </w:tc>
        <w:tc>
          <w:tcPr>
            <w:tcW w:type="dxa" w:w="2880"/>
          </w:tcPr>
          <w:p>
            <w:r>
              <w:t>Project Kick-off / Charter Approval</w:t>
            </w:r>
          </w:p>
        </w:tc>
        <w:tc>
          <w:tcPr>
            <w:tcW w:type="dxa" w:w="2880"/>
          </w:tcPr>
          <w:p>
            <w:r>
              <w:t>Q3/2022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Konzept / Architektur Review</w:t>
            </w:r>
          </w:p>
        </w:tc>
        <w:tc>
          <w:tcPr>
            <w:tcW w:type="dxa" w:w="2880"/>
          </w:tcPr>
          <w:p>
            <w:r>
              <w:t>Q1/2023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Design Freeze Hardware (A-Probe)</w:t>
            </w:r>
          </w:p>
        </w:tc>
        <w:tc>
          <w:tcPr>
            <w:tcW w:type="dxa" w:w="2880"/>
          </w:tcPr>
          <w:p>
            <w:r>
              <w:t>Q3/2023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Design Freeze Software (B-Probe)</w:t>
            </w:r>
          </w:p>
        </w:tc>
        <w:tc>
          <w:tcPr>
            <w:tcW w:type="dxa" w:w="2880"/>
          </w:tcPr>
          <w:p>
            <w:r>
              <w:t>Q1/2024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Validierung (PPAP Submission)</w:t>
            </w:r>
          </w:p>
        </w:tc>
        <w:tc>
          <w:tcPr>
            <w:tcW w:type="dxa" w:w="2880"/>
          </w:tcPr>
          <w:p>
            <w:r>
              <w:t>Q3/2024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SOP BMW Neue Klasse</w:t>
            </w:r>
          </w:p>
        </w:tc>
        <w:tc>
          <w:tcPr>
            <w:tcW w:type="dxa" w:w="2880"/>
          </w:tcPr>
          <w:p>
            <w:r>
              <w:t>Q2/2025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Steady State / Closure</w:t>
            </w:r>
          </w:p>
        </w:tc>
        <w:tc>
          <w:tcPr>
            <w:tcW w:type="dxa" w:w="2880"/>
          </w:tcPr>
          <w:p>
            <w:r>
              <w:t>Q1/2026</w:t>
            </w:r>
          </w:p>
        </w:tc>
      </w:tr>
    </w:tbl>
    <w:p>
      <w:pPr>
        <w:pStyle w:val="Heading3"/>
      </w:pPr>
      <w:r>
        <w:t>Budget und Ressourcen</w:t>
      </w:r>
    </w:p>
    <w:p>
      <w:r>
        <w:t>Geplantes Projektbudget (CAPEX + OPEX): EUR 38,5 Mio. ueber 4 Jahre, davon EUR 14,8 Mio. CAPEX (Linien-Adaption Katowice Linien 1+8, Pruefstaende, Werkzeuge) und EUR 23,7 Mio. OPEX (Engineering RSG/REG, Software, Validierung). Headcount Spitzenlast: 86 FTE (davon 42 RSG, 18 REG, 14 RPL, 12 RCN-Aftermarket). Foerderpotenzial: BMBF Programm 'Auto-IT' geprueft (Antrag 02/2023).</w:t>
      </w:r>
    </w:p>
    <w:p>
      <w:pPr>
        <w:pStyle w:val="Heading3"/>
      </w:pPr>
      <w:r>
        <w:t>Freigabe</w:t>
      </w:r>
    </w:p>
    <w:p>
      <w:r>
        <w:t>Project Charter ist freigegeben durch Vorstand (Anna Mueller CEO, Stefan Hoffmann CTO) am 18. August 2022 auf Vorstandssitzung VS-2022-08.</w:t>
      </w:r>
    </w:p>
    <w:p>
      <w:r>
        <w:t>Ort, Datum: Stuttgart, den 18. August 2022</w:t>
      </w:r>
    </w:p>
    <w:p>
      <w:r>
        <w:t>_________________________            _________________________</w:t>
        <w:br/>
        <w:t>Anna Mueller                          Stefan Hoffmann</w:t>
        <w:br/>
        <w:t>CEO Brennhagen Elektronik AG                          CTO Brennhagen Elektronik AG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