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/ System Requirements Specification – ECU-1000 Concept Study</w:t>
      </w:r>
    </w:p>
    <w:p>
      <w:pPr>
        <w:jc w:val="center"/>
      </w:pPr>
      <w:r>
        <w:t>Projekt PRJ-2024-001 Powertrain-ECU Gen4 (Nachfolger ECU-900)</w:t>
      </w:r>
    </w:p>
    <w:p/>
    <w:p>
      <w:pPr>
        <w:pStyle w:val="Heading3"/>
      </w:pPr>
      <w:r>
        <w:t>Dokumenten-Identifikation</w:t>
      </w:r>
    </w:p>
    <w:p>
      <w:r>
        <w:t>Dokument: Pflichtenheft / SyRS ECU-1000</w:t>
        <w:br/>
        <w:t>Dokumenten-Nr.: SyRS-ECU1000-001 Rev. A (Concept Phase)</w:t>
        <w:br/>
        <w:t>Projekt: PRJ-2024-001 ECU-1000 Concept Study</w:t>
        <w:br/>
        <w:t>Status: Concept-Phase Pflichtenheft, NICHT freigegeben fuer Serienentwicklung</w:t>
        <w:br/>
        <w:t>Erstellt: 14. Maerz 2024 (RSG Muenchen, Lars Wittmann)</w:t>
        <w:br/>
        <w:t>Review: 28. Maerz 2024 (Engineering, Werkleitung RPL Katowice, OEM-Repraesentanz)</w:t>
        <w:br/>
        <w:t>Naechster Schritt: Konzept-Gate G1 voraussichtlich Q3/2024.</w:t>
      </w:r>
    </w:p>
    <w:p>
      <w:pPr>
        <w:pStyle w:val="Heading3"/>
      </w:pPr>
      <w:r>
        <w:t>Zweck und Geltungsbereich</w:t>
      </w:r>
    </w:p>
    <w:p>
      <w:r>
        <w:t>Das vorliegende Pflichtenheft beschreibt die Anforderungen an den Powertrain-ECU der Generation 4 (»ECU-1000«), den geplanten Nachfolger des heutigen ECU-900. Ziel: Skalierbare ECU-Plattform fuer 800V-EV-Architekturen (VW SSP, Stellantis STLA-Large, Mercedes MMA, ggf. BMW Neue Klasse) mit Software-Defined-Vehicle (SDV) Faehigkeiten, OTA-Updates und Service-orientierter Architektur (SOA). Lead-Werk fuer Serie: RPL Katowice (Linien 2 und 5, vorgesehen ab Linie 9 nach Werkserweiterung).</w:t>
      </w:r>
    </w:p>
    <w:p>
      <w:pPr>
        <w:pStyle w:val="Heading3"/>
      </w:pPr>
      <w:r>
        <w:t>Funktionale Anforderungen</w:t>
      </w:r>
    </w:p>
    <w:p>
      <w:pPr>
        <w:pStyle w:val="ListBullet"/>
      </w:pPr>
      <w:r>
        <w:t>Recheneinheit: Multi-Core ARM Cortex-A78 + Lockstep-Pair Cortex-R52 (ASIL D)</w:t>
      </w:r>
    </w:p>
    <w:p>
      <w:pPr>
        <w:pStyle w:val="ListBullet"/>
      </w:pPr>
      <w:r>
        <w:t>Speicher: 16 GB LPDDR5, 256 GB eMMC, 64 MB Boot-Flash</w:t>
      </w:r>
    </w:p>
    <w:p>
      <w:pPr>
        <w:pStyle w:val="ListBullet"/>
      </w:pPr>
      <w:r>
        <w:t>Konnektivitaet: 4x Gigabit Automotive Ethernet, 8x CAN-FD, 4x LIN, 1x FlexRay</w:t>
      </w:r>
    </w:p>
    <w:p>
      <w:pPr>
        <w:pStyle w:val="ListBullet"/>
      </w:pPr>
      <w:r>
        <w:t>Sicherheitsbaustein: Infineon AURIX TC4xx (HSM), separater Boot-ROM</w:t>
      </w:r>
    </w:p>
    <w:p>
      <w:pPr>
        <w:pStyle w:val="ListBullet"/>
      </w:pPr>
      <w:r>
        <w:t>Stromversorgung: 12V Bordnetz + 48V optional, DC/DC integriert</w:t>
      </w:r>
    </w:p>
    <w:p>
      <w:pPr>
        <w:pStyle w:val="ListBullet"/>
      </w:pPr>
      <w:r>
        <w:t>Betriebssystem: AUTOSAR Adaptive Platform R23-11, Hypervisor (QNX/Pikevisor)</w:t>
      </w:r>
    </w:p>
    <w:p>
      <w:pPr>
        <w:pStyle w:val="ListBullet"/>
      </w:pPr>
      <w:r>
        <w:t>Cybersecurity: UN R155/R156, ISO/SAE 21434, sichere Boot-Kette</w:t>
      </w:r>
    </w:p>
    <w:p>
      <w:pPr>
        <w:pStyle w:val="ListBullet"/>
      </w:pPr>
      <w:r>
        <w:t>OTA: Container-basierte Updates (OCI), Rollback-Garantie</w:t>
      </w:r>
    </w:p>
    <w:p>
      <w:pPr>
        <w:pStyle w:val="Heading3"/>
      </w:pPr>
      <w:r>
        <w:t>Nicht-funktionale Anforderungen</w:t>
      </w:r>
    </w:p>
    <w:p>
      <w:pPr>
        <w:pStyle w:val="ListBullet"/>
      </w:pPr>
      <w:r>
        <w:t>Temperaturbereich: -40 ... +105 °C (Junction-Temp.), Lebensdauer 15 Jahre</w:t>
      </w:r>
    </w:p>
    <w:p>
      <w:pPr>
        <w:pStyle w:val="ListBullet"/>
      </w:pPr>
      <w:r>
        <w:t>EMV: gemaess CISPR 25, ISO 11452-x (Klasse 5)</w:t>
      </w:r>
    </w:p>
    <w:p>
      <w:pPr>
        <w:pStyle w:val="ListBullet"/>
      </w:pPr>
      <w:r>
        <w:t>Functional Safety: ASIL D Decomposition; ISO 26262 Pruefung TUV SUD</w:t>
      </w:r>
    </w:p>
    <w:p>
      <w:pPr>
        <w:pStyle w:val="ListBullet"/>
      </w:pPr>
      <w:r>
        <w:t>Cybersecurity: ISO/SAE 21434 + UN R155 / R156 (Type Approval)</w:t>
      </w:r>
    </w:p>
    <w:p>
      <w:pPr>
        <w:pStyle w:val="ListBullet"/>
      </w:pPr>
      <w:r>
        <w:t>Performance: Bootzeit &lt;= 1,5 s in App-Layer, OTA-Update &lt;= 30 min</w:t>
      </w:r>
    </w:p>
    <w:p>
      <w:pPr>
        <w:pStyle w:val="ListBullet"/>
      </w:pPr>
      <w:r>
        <w:t>Power Budget: &lt; 35 W typ., &lt; 65 W max., Standby &lt; 50 mW</w:t>
      </w:r>
    </w:p>
    <w:p>
      <w:pPr>
        <w:pStyle w:val="ListBullet"/>
      </w:pPr>
      <w:r>
        <w:t>Materialkosten Ziel BOM: ca. EUR 380 (-22 % ggue. ECU-900)</w:t>
      </w:r>
    </w:p>
    <w:p>
      <w:pPr>
        <w:pStyle w:val="Heading3"/>
      </w:pPr>
      <w:r>
        <w:t>Schnittstellen / Stakeholder</w:t>
      </w:r>
    </w:p>
    <w:p>
      <w:r>
        <w:t>Beteiligte Konzerngesellschaften und Rollen: RSG Muenchen (Software-Lead, Lars Wittmann); REG Heilbronn (Hardware-Entwicklung); RPL Katowice (Serienfertigung); RCN Shanghai (Asien-Vertrieb / Lokalanpassung); Konzern-CTO ab 1.7.2024 Dr. Petra Hollmann (Programm-Sponsor).</w:t>
      </w:r>
    </w:p>
    <w:p>
      <w:pPr>
        <w:pStyle w:val="Heading3"/>
      </w:pPr>
      <w:r>
        <w:t>Naechste Schritte</w:t>
      </w:r>
    </w:p>
    <w:p>
      <w:r>
        <w:t>1. Begutachtung Pflichtenheft durch externe Reviewer (Continental, Bosch via Hengeler Mueller-NDA) Q2/2024.</w:t>
        <w:br/>
        <w:t>2. Konzept-Gate G1 mit Steering Committee Q3/2024.</w:t>
        <w:br/>
        <w:t>3. Lieferanten-Vorqualifizierung (Halbleiter Infineon/NXP/Qualcomm) Q3-Q4/2024.</w:t>
        <w:br/>
        <w:t>4. RFP-Versand an OEM-Kunden VW/Mercedes Q4/2024.</w:t>
      </w:r>
    </w:p>
    <w:p>
      <w:r>
        <w:t>Ort, Datum: Muenchen / Stuttgart, den 14. Maerz 2024</w:t>
      </w:r>
    </w:p>
    <w:p>
      <w:r>
        <w:t>_________________________            _________________________</w:t>
        <w:br/>
        <w:t>Lars Wittmann                          Dr. Petra Hollmann</w:t>
        <w:br/>
        <w:t>Lead Developer RSG                          Designated CTO REA (ab 1.7.2024)</w:t>
        <w:br/>
        <w:t>Brennhagen Software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