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FX-Hedge-Quartalsbericht EUR/HUF – Q4 2022</w:t>
      </w:r>
    </w:p>
    <w:p>
      <w:pPr>
        <w:jc w:val="center"/>
      </w:pPr>
      <w:r>
        <w:t>Konzern-Treasury Quartalsbericht (Markus Pflanzer, Group Treasurer)</w:t>
      </w:r>
    </w:p>
    <w:p/>
    <w:p>
      <w:pPr>
        <w:pStyle w:val="Heading3"/>
      </w:pPr>
      <w:r>
        <w:t>Berichtsgegenstand</w:t>
      </w:r>
    </w:p>
    <w:p>
      <w:r>
        <w:t>Dieser Bericht dokumentiert die EUR/HUF-Hedging-Aktivitaeten der Brennhagen Elektronik AG (Konzern-Treasury, Frankfurt) im Berichtsquartal Q4 2022. Hedging-Underlying ist die operative HUF-Exposure der ungarischen Tochter Brennhagen Hungary Kft. (RHU, Gyor) aus Personalkosten, Versorgerrechnungen und lokalen Lieferantenbeziehungen. Hinweis: Dieser Bericht ist in der Datenraum-Indexrevision aus dem PL-Ordner in den korrekten Treasury-Ordner zu verlagern.</w:t>
      </w:r>
    </w:p>
    <w:p>
      <w:pPr>
        <w:pStyle w:val="Heading3"/>
      </w:pPr>
      <w:r>
        <w:t>Exposure und Hedging-Strategie</w:t>
      </w:r>
    </w:p>
    <w:p>
      <w:r>
        <w:t>Operative HUF-Exposure RHU Q4 2022 (Auszahlungen netto): ca. HUF 2,9 Mrd. (entspricht EUR 7,2 Mio. zum NBH-Mittelkurs 31.12.2022 von ca. 400 HUF/EUR). Hedging-Ziel-Quote gemaess Konzern-Treasury-Richtlinie 2021: 80 % der 12-Monats-Forward-Exposure. Hedging-Instrumente: FX Forward (3M / 6M / 12M rollend) und FX Option Collars (Floor/Cap) bei UniCredit Bank AG und BNP Paribas.</w:t>
      </w:r>
    </w:p>
    <w:p>
      <w:pPr>
        <w:pStyle w:val="Heading3"/>
      </w:pPr>
      <w:r>
        <w:t>Q4 2022 Hedging-Transaktionen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Trade-Date</w:t>
            </w:r>
          </w:p>
        </w:tc>
        <w:tc>
          <w:tcPr>
            <w:tcW w:type="dxa" w:w="1440"/>
          </w:tcPr>
          <w:p>
            <w:r>
              <w:t>Instrument</w:t>
            </w:r>
          </w:p>
        </w:tc>
        <w:tc>
          <w:tcPr>
            <w:tcW w:type="dxa" w:w="1440"/>
          </w:tcPr>
          <w:p>
            <w:r>
              <w:t>Counterparty</w:t>
            </w:r>
          </w:p>
        </w:tc>
        <w:tc>
          <w:tcPr>
            <w:tcW w:type="dxa" w:w="1440"/>
          </w:tcPr>
          <w:p>
            <w:r>
              <w:t>Volumen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Maturity</w:t>
            </w:r>
          </w:p>
        </w:tc>
      </w:tr>
      <w:tr>
        <w:tc>
          <w:tcPr>
            <w:tcW w:type="dxa" w:w="1440"/>
          </w:tcPr>
          <w:p>
            <w:r>
              <w:t>05.10.2022</w:t>
            </w:r>
          </w:p>
        </w:tc>
        <w:tc>
          <w:tcPr>
            <w:tcW w:type="dxa" w:w="1440"/>
          </w:tcPr>
          <w:p>
            <w:r>
              <w:t>EUR/HUF Forward Sale</w:t>
            </w:r>
          </w:p>
        </w:tc>
        <w:tc>
          <w:tcPr>
            <w:tcW w:type="dxa" w:w="1440"/>
          </w:tcPr>
          <w:p>
            <w:r>
              <w:t>UniCredit</w:t>
            </w:r>
          </w:p>
        </w:tc>
        <w:tc>
          <w:tcPr>
            <w:tcW w:type="dxa" w:w="1440"/>
          </w:tcPr>
          <w:p>
            <w:r>
              <w:t>HUF 800 Mio.</w:t>
            </w:r>
          </w:p>
        </w:tc>
        <w:tc>
          <w:tcPr>
            <w:tcW w:type="dxa" w:w="1440"/>
          </w:tcPr>
          <w:p>
            <w:r>
              <w:t>418,40</w:t>
            </w:r>
          </w:p>
        </w:tc>
        <w:tc>
          <w:tcPr>
            <w:tcW w:type="dxa" w:w="1440"/>
          </w:tcPr>
          <w:p>
            <w:r>
              <w:t>05.04.2023</w:t>
            </w:r>
          </w:p>
        </w:tc>
      </w:tr>
      <w:tr>
        <w:tc>
          <w:tcPr>
            <w:tcW w:type="dxa" w:w="1440"/>
          </w:tcPr>
          <w:p>
            <w:r>
              <w:t>18.10.2022</w:t>
            </w:r>
          </w:p>
        </w:tc>
        <w:tc>
          <w:tcPr>
            <w:tcW w:type="dxa" w:w="1440"/>
          </w:tcPr>
          <w:p>
            <w:r>
              <w:t>EUR/HUF Forward Sale</w:t>
            </w:r>
          </w:p>
        </w:tc>
        <w:tc>
          <w:tcPr>
            <w:tcW w:type="dxa" w:w="1440"/>
          </w:tcPr>
          <w:p>
            <w:r>
              <w:t>BNP Paribas</w:t>
            </w:r>
          </w:p>
        </w:tc>
        <w:tc>
          <w:tcPr>
            <w:tcW w:type="dxa" w:w="1440"/>
          </w:tcPr>
          <w:p>
            <w:r>
              <w:t>HUF 600 Mio.</w:t>
            </w:r>
          </w:p>
        </w:tc>
        <w:tc>
          <w:tcPr>
            <w:tcW w:type="dxa" w:w="1440"/>
          </w:tcPr>
          <w:p>
            <w:r>
              <w:t>421,80</w:t>
            </w:r>
          </w:p>
        </w:tc>
        <w:tc>
          <w:tcPr>
            <w:tcW w:type="dxa" w:w="1440"/>
          </w:tcPr>
          <w:p>
            <w:r>
              <w:t>18.04.2023</w:t>
            </w:r>
          </w:p>
        </w:tc>
      </w:tr>
      <w:tr>
        <w:tc>
          <w:tcPr>
            <w:tcW w:type="dxa" w:w="1440"/>
          </w:tcPr>
          <w:p>
            <w:r>
              <w:t>09.11.2022</w:t>
            </w:r>
          </w:p>
        </w:tc>
        <w:tc>
          <w:tcPr>
            <w:tcW w:type="dxa" w:w="1440"/>
          </w:tcPr>
          <w:p>
            <w:r>
              <w:t>EUR/HUF Forward Sale</w:t>
            </w:r>
          </w:p>
        </w:tc>
        <w:tc>
          <w:tcPr>
            <w:tcW w:type="dxa" w:w="1440"/>
          </w:tcPr>
          <w:p>
            <w:r>
              <w:t>Deutsche Bank</w:t>
            </w:r>
          </w:p>
        </w:tc>
        <w:tc>
          <w:tcPr>
            <w:tcW w:type="dxa" w:w="1440"/>
          </w:tcPr>
          <w:p>
            <w:r>
              <w:t>HUF 900 Mio.</w:t>
            </w:r>
          </w:p>
        </w:tc>
        <w:tc>
          <w:tcPr>
            <w:tcW w:type="dxa" w:w="1440"/>
          </w:tcPr>
          <w:p>
            <w:r>
              <w:t>412,10</w:t>
            </w:r>
          </w:p>
        </w:tc>
        <w:tc>
          <w:tcPr>
            <w:tcW w:type="dxa" w:w="1440"/>
          </w:tcPr>
          <w:p>
            <w:r>
              <w:t>09.05.2023</w:t>
            </w:r>
          </w:p>
        </w:tc>
      </w:tr>
      <w:tr>
        <w:tc>
          <w:tcPr>
            <w:tcW w:type="dxa" w:w="1440"/>
          </w:tcPr>
          <w:p>
            <w:r>
              <w:t>28.11.2022</w:t>
            </w:r>
          </w:p>
        </w:tc>
        <w:tc>
          <w:tcPr>
            <w:tcW w:type="dxa" w:w="1440"/>
          </w:tcPr>
          <w:p>
            <w:r>
              <w:t>EUR/HUF Collar 6M</w:t>
            </w:r>
          </w:p>
        </w:tc>
        <w:tc>
          <w:tcPr>
            <w:tcW w:type="dxa" w:w="1440"/>
          </w:tcPr>
          <w:p>
            <w:r>
              <w:t>UniCredit</w:t>
            </w:r>
          </w:p>
        </w:tc>
        <w:tc>
          <w:tcPr>
            <w:tcW w:type="dxa" w:w="1440"/>
          </w:tcPr>
          <w:p>
            <w:r>
              <w:t>EUR 4,0 Mio.</w:t>
            </w:r>
          </w:p>
        </w:tc>
        <w:tc>
          <w:tcPr>
            <w:tcW w:type="dxa" w:w="1440"/>
          </w:tcPr>
          <w:p>
            <w:r>
              <w:t>Cap 425 / Floor 395</w:t>
            </w:r>
          </w:p>
        </w:tc>
        <w:tc>
          <w:tcPr>
            <w:tcW w:type="dxa" w:w="1440"/>
          </w:tcPr>
          <w:p>
            <w:r>
              <w:t>28.05.2023</w:t>
            </w:r>
          </w:p>
        </w:tc>
      </w:tr>
      <w:tr>
        <w:tc>
          <w:tcPr>
            <w:tcW w:type="dxa" w:w="1440"/>
          </w:tcPr>
          <w:p>
            <w:r>
              <w:t>12.12.2022</w:t>
            </w:r>
          </w:p>
        </w:tc>
        <w:tc>
          <w:tcPr>
            <w:tcW w:type="dxa" w:w="1440"/>
          </w:tcPr>
          <w:p>
            <w:r>
              <w:t>EUR/HUF Forward Sale</w:t>
            </w:r>
          </w:p>
        </w:tc>
        <w:tc>
          <w:tcPr>
            <w:tcW w:type="dxa" w:w="1440"/>
          </w:tcPr>
          <w:p>
            <w:r>
              <w:t>BNP Paribas</w:t>
            </w:r>
          </w:p>
        </w:tc>
        <w:tc>
          <w:tcPr>
            <w:tcW w:type="dxa" w:w="1440"/>
          </w:tcPr>
          <w:p>
            <w:r>
              <w:t>HUF 700 Mio.</w:t>
            </w:r>
          </w:p>
        </w:tc>
        <w:tc>
          <w:tcPr>
            <w:tcW w:type="dxa" w:w="1440"/>
          </w:tcPr>
          <w:p>
            <w:r>
              <w:t>405,60</w:t>
            </w:r>
          </w:p>
        </w:tc>
        <w:tc>
          <w:tcPr>
            <w:tcW w:type="dxa" w:w="1440"/>
          </w:tcPr>
          <w:p>
            <w:r>
              <w:t>12.06.2023</w:t>
            </w:r>
          </w:p>
        </w:tc>
      </w:tr>
    </w:tbl>
    <w:p>
      <w:pPr>
        <w:pStyle w:val="Heading3"/>
      </w:pPr>
      <w:r>
        <w:t>Mark-to-Market und Hedging-Effektivitaet</w:t>
      </w:r>
    </w:p>
    <w:p>
      <w:r>
        <w:t>Mark-to-Market der EUR/HUF-Hedges zum 31.12.2022: positives Hedge-Asset von EUR 0,42 Mio. (Vorquartal EUR -0,18 Mio.). Hedging-Effektivitaet gemaess IFRS 9 retrospektiv getestet: 96,4 % (Toleranzgrenze 80-125 %; effektiv). Cash Flow Hedge Accounting (CFH) angewendet; OCI-Effekt netto nach Steuern ca. EUR 0,29 Mio. (positiv).</w:t>
      </w:r>
    </w:p>
    <w:p>
      <w:r>
        <w:t>Kein Hedge-De-Designation in Q4 2022. Counterparty-Risk gemaess Konzernrichtlinie auf 5 Hausbanken diversifiziert.</w:t>
      </w:r>
    </w:p>
    <w:p>
      <w:pPr>
        <w:pStyle w:val="Heading3"/>
      </w:pPr>
      <w:r>
        <w:t>Ausblick</w:t>
      </w:r>
    </w:p>
    <w:p>
      <w:r>
        <w:t>Fuer 2023 wird die EUR/HUF-Volatilitaet weiter erhoeht erwartet (Inflation HU 20+ %, MNB-Leitzins 13 %). Empfehlung: Hedging-Quote von 80 % auf 90 % erhoehen, ggf. mehrjaehrige Forward-Strip-Strategie. Themen-Pipeline: Sustainability-linked FX-Hedges (ESG-Tilt), HUF-Funding via Auslandsanleihe pruefen.</w:t>
      </w:r>
    </w:p>
    <w:p>
      <w:r>
        <w:t>Ort, Datum: Stuttgart, den 15. Januar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