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Compliance-Jahresbericht 2023 – Brennhagen Polska Sp. z o.o.</w:t>
      </w:r>
    </w:p>
    <w:p>
      <w:pPr>
        <w:jc w:val="center"/>
      </w:pPr>
      <w:r>
        <w:t>Berichtszeitraum 1. Januar 2023 – 31. Dezember 2023</w:t>
      </w:r>
    </w:p>
    <w:p/>
    <w:p>
      <w:pPr>
        <w:pStyle w:val="Heading3"/>
      </w:pPr>
      <w:r>
        <w:t>Vorbemerkung</w:t>
      </w:r>
    </w:p>
    <w:p>
      <w:r>
        <w:t>Dieser Compliance-Jahresbericht 2023 dokumentiert die Umsetzung der konzernweit geltenden Compliance-Standards (Code of Conduct Brennhagen Elektronik AG, Antikorruptionsrichtlinie, Exportkontrolle, Whistleblowing-Richtlinie) durch die Brennhagen Polska Sp. z o.o. und ist Teil des Konzern-Compliance-Reportings an den Pruefungsausschuss des Aufsichtsrats der Brennhagen Elektronik AG (Vorsitz Prof. Dr.-Ing. Gerhard Voss).</w:t>
      </w:r>
    </w:p>
    <w:p>
      <w:pPr>
        <w:pStyle w:val="Heading3"/>
      </w:pPr>
      <w:r>
        <w:t>Compliance-Organisation</w:t>
      </w:r>
    </w:p>
    <w:p>
      <w:r>
        <w:t>Local Compliance Officer (LCO) RPL: Magdalena Lewandowska (Doppelfunktion mit Finance Controlling). Berichtsweg: an Group Compliance Officer Dr. Andreas Bühler (Chief Audit Executive, Stuttgart). Lokales Compliance-Komitee tagt quartalsweise (Werkleiter, HR, Finance, Q-Leitung, Betriebsratsvorsitz). Sitzungen 2023: 14.02., 18.05., 12.09., 05.12. (alle protokolliert).</w:t>
      </w:r>
    </w:p>
    <w:p>
      <w:pPr>
        <w:pStyle w:val="Heading3"/>
      </w:pPr>
      <w:r>
        <w:t>Schulungen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Schulung</w:t>
            </w:r>
          </w:p>
        </w:tc>
        <w:tc>
          <w:tcPr>
            <w:tcW w:type="dxa" w:w="1728"/>
          </w:tcPr>
          <w:p>
            <w:r>
              <w:t>Zielgruppe</w:t>
            </w:r>
          </w:p>
        </w:tc>
        <w:tc>
          <w:tcPr>
            <w:tcW w:type="dxa" w:w="1728"/>
          </w:tcPr>
          <w:p>
            <w:r>
              <w:t>Teilnehmer</w:t>
            </w:r>
          </w:p>
        </w:tc>
        <w:tc>
          <w:tcPr>
            <w:tcW w:type="dxa" w:w="1728"/>
          </w:tcPr>
          <w:p>
            <w:r>
              <w:t>Quote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</w:tr>
      <w:tr>
        <w:tc>
          <w:tcPr>
            <w:tcW w:type="dxa" w:w="1728"/>
          </w:tcPr>
          <w:p>
            <w:r>
              <w:t>Code of Conduct Refresher</w:t>
            </w:r>
          </w:p>
        </w:tc>
        <w:tc>
          <w:tcPr>
            <w:tcW w:type="dxa" w:w="1728"/>
          </w:tcPr>
          <w:p>
            <w:r>
              <w:t>Alle MA</w:t>
            </w:r>
          </w:p>
        </w:tc>
        <w:tc>
          <w:tcPr>
            <w:tcW w:type="dxa" w:w="1728"/>
          </w:tcPr>
          <w:p>
            <w:r>
              <w:t>942 / 960</w:t>
            </w:r>
          </w:p>
        </w:tc>
        <w:tc>
          <w:tcPr>
            <w:tcW w:type="dxa" w:w="1728"/>
          </w:tcPr>
          <w:p>
            <w:r>
              <w:t>98,1 %</w:t>
            </w:r>
          </w:p>
        </w:tc>
        <w:tc>
          <w:tcPr>
            <w:tcW w:type="dxa" w:w="1728"/>
          </w:tcPr>
          <w:p>
            <w:r>
              <w:t>E-Learning (poln.)</w:t>
            </w:r>
          </w:p>
        </w:tc>
      </w:tr>
      <w:tr>
        <w:tc>
          <w:tcPr>
            <w:tcW w:type="dxa" w:w="1728"/>
          </w:tcPr>
          <w:p>
            <w:r>
              <w:t>Antikorruption / Geschenke-Richtlinie</w:t>
            </w:r>
          </w:p>
        </w:tc>
        <w:tc>
          <w:tcPr>
            <w:tcW w:type="dxa" w:w="1728"/>
          </w:tcPr>
          <w:p>
            <w:r>
              <w:t>Fuehrungskraefte + Einkauf</w:t>
            </w:r>
          </w:p>
        </w:tc>
        <w:tc>
          <w:tcPr>
            <w:tcW w:type="dxa" w:w="1728"/>
          </w:tcPr>
          <w:p>
            <w:r>
              <w:t>118 / 124</w:t>
            </w:r>
          </w:p>
        </w:tc>
        <w:tc>
          <w:tcPr>
            <w:tcW w:type="dxa" w:w="1728"/>
          </w:tcPr>
          <w:p>
            <w:r>
              <w:t>95,2 %</w:t>
            </w:r>
          </w:p>
        </w:tc>
        <w:tc>
          <w:tcPr>
            <w:tcW w:type="dxa" w:w="1728"/>
          </w:tcPr>
          <w:p>
            <w:r>
              <w:t>Praesenz + Test</w:t>
            </w:r>
          </w:p>
        </w:tc>
      </w:tr>
      <w:tr>
        <w:tc>
          <w:tcPr>
            <w:tcW w:type="dxa" w:w="1728"/>
          </w:tcPr>
          <w:p>
            <w:r>
              <w:t>DSGVO / RODO Refresher</w:t>
            </w:r>
          </w:p>
        </w:tc>
        <w:tc>
          <w:tcPr>
            <w:tcW w:type="dxa" w:w="1728"/>
          </w:tcPr>
          <w:p>
            <w:r>
              <w:t>Alle MA mit PC-Arbeitsplatz</w:t>
            </w:r>
          </w:p>
        </w:tc>
        <w:tc>
          <w:tcPr>
            <w:tcW w:type="dxa" w:w="1728"/>
          </w:tcPr>
          <w:p>
            <w:r>
              <w:t>412 / 420</w:t>
            </w:r>
          </w:p>
        </w:tc>
        <w:tc>
          <w:tcPr>
            <w:tcW w:type="dxa" w:w="1728"/>
          </w:tcPr>
          <w:p>
            <w:r>
              <w:t>98,1 %</w:t>
            </w:r>
          </w:p>
        </w:tc>
        <w:tc>
          <w:tcPr>
            <w:tcW w:type="dxa" w:w="1728"/>
          </w:tcPr>
          <w:p>
            <w:r>
              <w:t>E-Learning</w:t>
            </w:r>
          </w:p>
        </w:tc>
      </w:tr>
      <w:tr>
        <w:tc>
          <w:tcPr>
            <w:tcW w:type="dxa" w:w="1728"/>
          </w:tcPr>
          <w:p>
            <w:r>
              <w:t>Exportkontrolle (Dual-Use, EU-Sanktionen)</w:t>
            </w:r>
          </w:p>
        </w:tc>
        <w:tc>
          <w:tcPr>
            <w:tcW w:type="dxa" w:w="1728"/>
          </w:tcPr>
          <w:p>
            <w:r>
              <w:t>Sales/Logistik/Engineering</w:t>
            </w:r>
          </w:p>
        </w:tc>
        <w:tc>
          <w:tcPr>
            <w:tcW w:type="dxa" w:w="1728"/>
          </w:tcPr>
          <w:p>
            <w:r>
              <w:t>84 / 87</w:t>
            </w:r>
          </w:p>
        </w:tc>
        <w:tc>
          <w:tcPr>
            <w:tcW w:type="dxa" w:w="1728"/>
          </w:tcPr>
          <w:p>
            <w:r>
              <w:t>96,6 %</w:t>
            </w:r>
          </w:p>
        </w:tc>
        <w:tc>
          <w:tcPr>
            <w:tcW w:type="dxa" w:w="1728"/>
          </w:tcPr>
          <w:p>
            <w:r>
              <w:t>Live Webinar</w:t>
            </w:r>
          </w:p>
        </w:tc>
      </w:tr>
      <w:tr>
        <w:tc>
          <w:tcPr>
            <w:tcW w:type="dxa" w:w="1728"/>
          </w:tcPr>
          <w:p>
            <w:r>
              <w:t>Kartellrecht / Wettbewerbsrecht</w:t>
            </w:r>
          </w:p>
        </w:tc>
        <w:tc>
          <w:tcPr>
            <w:tcW w:type="dxa" w:w="1728"/>
          </w:tcPr>
          <w:p>
            <w:r>
              <w:t>Fuehrungskraefte + Sales</w:t>
            </w:r>
          </w:p>
        </w:tc>
        <w:tc>
          <w:tcPr>
            <w:tcW w:type="dxa" w:w="1728"/>
          </w:tcPr>
          <w:p>
            <w:r>
              <w:t>98 / 102</w:t>
            </w:r>
          </w:p>
        </w:tc>
        <w:tc>
          <w:tcPr>
            <w:tcW w:type="dxa" w:w="1728"/>
          </w:tcPr>
          <w:p>
            <w:r>
              <w:t>96,1 %</w:t>
            </w:r>
          </w:p>
        </w:tc>
        <w:tc>
          <w:tcPr>
            <w:tcW w:type="dxa" w:w="1728"/>
          </w:tcPr>
          <w:p>
            <w:r>
              <w:t>Praesenz</w:t>
            </w:r>
          </w:p>
        </w:tc>
      </w:tr>
      <w:tr>
        <w:tc>
          <w:tcPr>
            <w:tcW w:type="dxa" w:w="1728"/>
          </w:tcPr>
          <w:p>
            <w:r>
              <w:t>IATF 16949 Q-Awareness</w:t>
            </w:r>
          </w:p>
        </w:tc>
        <w:tc>
          <w:tcPr>
            <w:tcW w:type="dxa" w:w="1728"/>
          </w:tcPr>
          <w:p>
            <w:r>
              <w:t>Produktionsmitarbeiter</w:t>
            </w:r>
          </w:p>
        </w:tc>
        <w:tc>
          <w:tcPr>
            <w:tcW w:type="dxa" w:w="1728"/>
          </w:tcPr>
          <w:p>
            <w:r>
              <w:t>780 / 800</w:t>
            </w:r>
          </w:p>
        </w:tc>
        <w:tc>
          <w:tcPr>
            <w:tcW w:type="dxa" w:w="1728"/>
          </w:tcPr>
          <w:p>
            <w:r>
              <w:t>97,5 %</w:t>
            </w:r>
          </w:p>
        </w:tc>
        <w:tc>
          <w:tcPr>
            <w:tcW w:type="dxa" w:w="1728"/>
          </w:tcPr>
          <w:p>
            <w:r>
              <w:t>Werker-Schulung am Arbeitsplatz</w:t>
            </w:r>
          </w:p>
        </w:tc>
      </w:tr>
    </w:tbl>
    <w:p>
      <w:pPr>
        <w:pStyle w:val="Heading3"/>
      </w:pPr>
      <w:r>
        <w:t>Whistleblower-Meldungen / Hinweisgeberkanal</w:t>
      </w:r>
    </w:p>
    <w:p>
      <w:r>
        <w:t>Im Berichtszeitraum 2023 sind beim konzernweiten Hinweisgeberkanal (extern betrieben durch BKMS System / EQS Group AG) 3 Hinweise aus dem Werk Katowice eingegangen:</w:t>
      </w:r>
    </w:p>
    <w:p>
      <w:r>
        <w:t>1. Verdacht auf Schichtplan-Manipulation (untersucht, Sachverhalt nicht bestaetigt; Massnahme: ueberarbeitete Schichtplan-Dokumentation, Roll-out 04/2023).</w:t>
        <w:br/>
        <w:t>2. Hinweis auf moegliche Datenschutzverletzung im HR-System (untersucht durch lokalen DPO / Group DPO; technisches Konfigurationsproblem behoben in 24 h; keine Meldepflicht nach Art. 33 DSGVO).</w:t>
        <w:br/>
        <w:t>3. Verdacht auf unzulaessige Zuwendungen an einen Lieferanten (untersucht durch Internal Audit / KPMG Forensic; Verdacht nicht erhaertet, Sachverhalt geschlossen).</w:t>
      </w:r>
    </w:p>
    <w:p>
      <w:pPr>
        <w:pStyle w:val="Heading3"/>
      </w:pPr>
      <w:r>
        <w:t>ZUS / Sozialversicherung / Arbeitsrecht</w:t>
      </w:r>
    </w:p>
    <w:p>
      <w:r>
        <w:t>Saemtliche ZUS-Beitraege (Renten-, Kranken-, Unfall-, Arbeitslosenversicherung, NFZ, PFRON) fuer 2023 fristgerecht abgefuehrt (PLN 78,6 Mio. Arbeitgeberanteil). Beschwerden bei der Panstwowa Inspekcja Pracy (PIP – Staatliche Arbeitsinspektion): keine. Arbeitsgerichtliche Verfahren 2023: 2 Verfahren (1 Kuendigungsschutzklage Vergleich, 1 Verfahren laufend Sad Rejonowy Katowice-Zachod).</w:t>
      </w:r>
    </w:p>
    <w:p>
      <w:pPr>
        <w:pStyle w:val="Heading3"/>
      </w:pPr>
      <w:r>
        <w:t>Datenschutz / RODO</w:t>
      </w:r>
    </w:p>
    <w:p>
      <w:r>
        <w:t>Lokaler Datenschutzbeauftragter (Inspektor Ochrony Danych): Anna Kowalska (HR-Leitung, mit Doppelmandat). Berichtsweg an Konzern-DPO Frankfurt. Verzeichnis von Verarbeitungsvorgaengen (RVV) gepflegt und aktuell. Im Berichtszeitraum 2 DSGVO-Anfragen Betroffener (Auskunft / Loeschung), beide fristgerecht beantwortet. Keine meldepflichtigen Datenpannen.</w:t>
      </w:r>
    </w:p>
    <w:p>
      <w:pPr>
        <w:pStyle w:val="Heading3"/>
      </w:pPr>
      <w:r>
        <w:t>Exportkontrolle / Sanktionen</w:t>
      </w:r>
    </w:p>
    <w:p>
      <w:r>
        <w:t>Pruefung der Sanktionslisten (EU 833/2014 Russland-Sanktionen, OFAC SDN, BAFA) monatlich auf Lieferanten- und Kundenstamm. Im Zuge der Sanktionen 2022/2023 wurden 14 Geschaeftsbeziehungen beendet (russische Distributoren / belarussische Sublieferanten). Keine Verstoesse identifiziert. Dual-Use-Pruefung fuer ADAS-V4D-Komponenten erfolgt automatisiert in SAP GTS.</w:t>
      </w:r>
    </w:p>
    <w:p>
      <w:pPr>
        <w:pStyle w:val="Heading3"/>
      </w:pPr>
      <w:r>
        <w:t>Bewertung und Ausblick</w:t>
      </w:r>
    </w:p>
    <w:p>
      <w:r>
        <w:t>Insgesamt bewertet der lokale Compliance Officer die Compliance-Lage der RPL fuer 2023 als »wirksam und stabil«. Fuer 2024 geplant: (i) Roll-out Lieferanten-Compliance-Audits (5 Lieferanten Stufe A), (ii) Aktualisierung Geschenke- und Bewirtungsrichtlinie (PLN-Schwellenwerte), (iii) ISO 27001-Vorbereitung (Konzern-Roll-out).</w:t>
      </w:r>
    </w:p>
    <w:p>
      <w:r>
        <w:t>Ort, Datum: Katowice / Stuttgart, den 22. Februar 2024</w:t>
      </w:r>
    </w:p>
    <w:p>
      <w:r>
        <w:t>_________________________            _________________________</w:t>
        <w:br/>
        <w:t>Magdalena Lewandowska                          Dr. Andreas Bühler</w:t>
        <w:br/>
        <w:t>Local Compliance Officer RPL                          Group Compliance Officer / CAE</w:t>
        <w:br/>
        <w:t>Brennhagen Polska Sp. z o.o.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