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*** ENTWURF / DRAFT – NICHT ZUR WEITERGABE ***</w:t>
      </w:r>
    </w:p>
    <w:p>
      <w:pPr>
        <w:pStyle w:val="Heading1"/>
      </w:pPr>
      <w:r>
        <w:t>Brennhagen Polska Sp. z o.o.</w:t>
      </w:r>
    </w:p>
    <w:p>
      <w:r>
        <w:rPr>
          <w:sz w:val="18"/>
        </w:rPr>
        <w:t>ul. Roozdzienskiego 188, 40-203 Katowice, Polen  |  KRS 0000543210, Sad Rejonowy Katowice-Wschod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Lenkungsplan (Control Plan) – InfoConnect Pro (Infotainment-Modul) – Brennhagen Polska Sp. z o.o.</w:t>
      </w:r>
    </w:p>
    <w:p>
      <w:pPr>
        <w:jc w:val="center"/>
      </w:pPr>
      <w:r>
        <w:t>IATF 16949 §8.5.1.1 / AIAG-VDA / Linien Linie 1 + 8</w:t>
      </w:r>
    </w:p>
    <w:p/>
    <w:p>
      <w:pPr>
        <w:pStyle w:val="Heading3"/>
      </w:pPr>
      <w:r>
        <w:t>Lenkungsplan-Identifikation</w:t>
      </w:r>
    </w:p>
    <w:p>
      <w:r>
        <w:t>Produkt: InfoConnect Pro (Infotainment-Modul) (ICP-3)</w:t>
        <w:br/>
        <w:t>Hauptkunden: BMW Group, Mercedes-Benz Group AG</w:t>
        <w:br/>
        <w:t>Produktionsstandort: Brennhagen Polska Sp. z o.o., Werk Katowice (8 SMD-Linien)</w:t>
        <w:br/>
        <w:t>Fertigungslinien fuer dieses Produkt: Linie 1 + 8</w:t>
        <w:br/>
        <w:t>Taktzeit Ziel: 36 s/Stk.</w:t>
        <w:br/>
        <w:t>Lenkungsplan-Nr.: RPL-CP-ICP-3-2023.04</w:t>
        <w:br/>
        <w:t>Gueltig ab: 1. April 2023</w:t>
        <w:br/>
        <w:t>Ueberarbeitung Nr.: 04 (jaehrliche Re-Validierung gemaess IATF 16949 §8.5.1.1)</w:t>
        <w:br/>
        <w:t>Erstellt durch: Q-Manager RPL (Krzysztof Nowak / Anna Sokolowska)</w:t>
        <w:br/>
        <w:t>Freigegeben durch: Werkleiter Marek Wojciechowski / OEM-Kundenvertretung</w:t>
        <w:br/>
        <w:t>Anwendung: Produktionslenkung / Serienfertigung (Production Control)</w:t>
      </w:r>
    </w:p>
    <w:p>
      <w:pPr>
        <w:pStyle w:val="Heading3"/>
      </w:pPr>
      <w:r>
        <w:t>Geltungsbereich</w:t>
      </w:r>
    </w:p>
    <w:p>
      <w:r>
        <w:t>Dieser Lenkungsplan gilt fuer die Fertigung des Produktes InfoConnect Pro (Infotainment-Modul) (ICP-3) auf den Linien Linie 1 + 8 im Werk Katowice. Er beschreibt die Prozessschritte, Prozess- und Produktmerkmale, Mess- und Pruefverfahren sowie Reaktionsplaene gemaess IATF 16949:2016, AIAG-VDA FMEA-Handbuch (2019) sowie der jeweiligen Kunden-CSR (Customer Specific Requirements: BMW GS95015, VW Konzernnormen, Mercedes MBN). Bezugsdokumente: PFMEA Rev. 07, Prozessflussdiagramm Rev. 05, Werkerstandards AS-RPL-ICP-3, Pruefmittelfaehigkeitsanalysen MSA Rev. 03.</w:t>
      </w:r>
    </w:p>
    <w:p>
      <w:pPr>
        <w:pStyle w:val="Heading3"/>
      </w:pPr>
      <w:r>
        <w:t>Prozess- und Pruefmatrix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Schritt</w:t>
            </w:r>
          </w:p>
        </w:tc>
        <w:tc>
          <w:tcPr>
            <w:tcW w:type="dxa" w:w="1234"/>
          </w:tcPr>
          <w:p>
            <w:r>
              <w:t>Prozess</w:t>
            </w:r>
          </w:p>
        </w:tc>
        <w:tc>
          <w:tcPr>
            <w:tcW w:type="dxa" w:w="1234"/>
          </w:tcPr>
          <w:p>
            <w:r>
              <w:t>Merkmal</w:t>
            </w:r>
          </w:p>
        </w:tc>
        <w:tc>
          <w:tcPr>
            <w:tcW w:type="dxa" w:w="1234"/>
          </w:tcPr>
          <w:p>
            <w:r>
              <w:t>Spezifikation</w:t>
            </w:r>
          </w:p>
        </w:tc>
        <w:tc>
          <w:tcPr>
            <w:tcW w:type="dxa" w:w="1234"/>
          </w:tcPr>
          <w:p>
            <w:r>
              <w:t>Methode/Mittel</w:t>
            </w:r>
          </w:p>
        </w:tc>
        <w:tc>
          <w:tcPr>
            <w:tcW w:type="dxa" w:w="1234"/>
          </w:tcPr>
          <w:p>
            <w:r>
              <w:t>Stichprobe</w:t>
            </w:r>
          </w:p>
        </w:tc>
        <w:tc>
          <w:tcPr>
            <w:tcW w:type="dxa" w:w="1234"/>
          </w:tcPr>
          <w:p>
            <w:r>
              <w:t>Reaktionsplan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Solder Paste Print</w:t>
            </w:r>
          </w:p>
        </w:tc>
        <w:tc>
          <w:tcPr>
            <w:tcW w:type="dxa" w:w="1234"/>
          </w:tcPr>
          <w:p>
            <w:r>
              <w:t>Pastenvolumen 100 +/- 12 %</w:t>
            </w:r>
          </w:p>
        </w:tc>
        <w:tc>
          <w:tcPr>
            <w:tcW w:type="dxa" w:w="1234"/>
          </w:tcPr>
          <w:p>
            <w:r>
              <w:t>SPI 5DX (Koh Young KY8030)</w:t>
            </w:r>
          </w:p>
        </w:tc>
        <w:tc>
          <w:tcPr>
            <w:tcW w:type="dxa" w:w="1234"/>
          </w:tcPr>
          <w:p>
            <w:r>
              <w:t>100 % SPI</w:t>
            </w:r>
          </w:p>
        </w:tc>
        <w:tc>
          <w:tcPr>
            <w:tcW w:type="dxa" w:w="1234"/>
          </w:tcPr>
          <w:p>
            <w:r>
              <w:t>1 Linie/h</w:t>
            </w:r>
          </w:p>
        </w:tc>
        <w:tc>
          <w:tcPr>
            <w:tcW w:type="dxa" w:w="1234"/>
          </w:tcPr>
          <w:p>
            <w:r>
              <w:t>Linie Stopp + Reinigung Stencil</w:t>
            </w:r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SMD-Bestueckung Top</w:t>
            </w:r>
          </w:p>
        </w:tc>
        <w:tc>
          <w:tcPr>
            <w:tcW w:type="dxa" w:w="1234"/>
          </w:tcPr>
          <w:p>
            <w:r>
              <w:t>Bauteil-Positionierung +/- 50 µm</w:t>
            </w:r>
          </w:p>
        </w:tc>
        <w:tc>
          <w:tcPr>
            <w:tcW w:type="dxa" w:w="1234"/>
          </w:tcPr>
          <w:p>
            <w:r>
              <w:t>Pick-and-Place ASM Siplace SX2</w:t>
            </w:r>
          </w:p>
        </w:tc>
        <w:tc>
          <w:tcPr>
            <w:tcW w:type="dxa" w:w="1234"/>
          </w:tcPr>
          <w:p>
            <w:r>
              <w:t>1x/Schicht Erstmusterpruefung</w:t>
            </w:r>
          </w:p>
        </w:tc>
        <w:tc>
          <w:tcPr>
            <w:tcW w:type="dxa" w:w="1234"/>
          </w:tcPr>
          <w:p>
            <w:r>
              <w:t>n=5 / Schicht</w:t>
            </w:r>
          </w:p>
        </w:tc>
        <w:tc>
          <w:tcPr>
            <w:tcW w:type="dxa" w:w="1234"/>
          </w:tcPr>
          <w:p>
            <w:r>
              <w:t>Linie Stopp / Nozzle-Pruefung</w:t>
            </w:r>
          </w:p>
        </w:tc>
      </w:tr>
      <w:tr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Reflow-Loeten</w:t>
            </w:r>
          </w:p>
        </w:tc>
        <w:tc>
          <w:tcPr>
            <w:tcW w:type="dxa" w:w="1234"/>
          </w:tcPr>
          <w:p>
            <w:r>
              <w:t>Temperaturprofil 245 +/- 5 °C Peak</w:t>
            </w:r>
          </w:p>
        </w:tc>
        <w:tc>
          <w:tcPr>
            <w:tcW w:type="dxa" w:w="1234"/>
          </w:tcPr>
          <w:p>
            <w:r>
              <w:t>Reflow-Ofen Heller 1936 MK7 (12 Zonen, N2)</w:t>
            </w:r>
          </w:p>
        </w:tc>
        <w:tc>
          <w:tcPr>
            <w:tcW w:type="dxa" w:w="1234"/>
          </w:tcPr>
          <w:p>
            <w:r>
              <w:t>Profilmessung 2x/Schicht KIC2000</w:t>
            </w:r>
          </w:p>
        </w:tc>
        <w:tc>
          <w:tcPr>
            <w:tcW w:type="dxa" w:w="1234"/>
          </w:tcPr>
          <w:p>
            <w:r>
              <w:t>n=1 PCB/Schicht</w:t>
            </w:r>
          </w:p>
        </w:tc>
        <w:tc>
          <w:tcPr>
            <w:tcW w:type="dxa" w:w="1234"/>
          </w:tcPr>
          <w:p>
            <w:r>
              <w:t>Stop / Profilanpassung / Eskalation Q-Leitung</w:t>
            </w:r>
          </w:p>
        </w:tc>
      </w:tr>
      <w:tr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AOI (Optisch)</w:t>
            </w:r>
          </w:p>
        </w:tc>
        <w:tc>
          <w:tcPr>
            <w:tcW w:type="dxa" w:w="1234"/>
          </w:tcPr>
          <w:p>
            <w:r>
              <w:t>Loetstellen, Polaritaet, Bauteil-Praesenz</w:t>
            </w:r>
          </w:p>
        </w:tc>
        <w:tc>
          <w:tcPr>
            <w:tcW w:type="dxa" w:w="1234"/>
          </w:tcPr>
          <w:p>
            <w:r>
              <w:t>Koh Young Zenith Alpha 3D-AOI</w:t>
            </w:r>
          </w:p>
        </w:tc>
        <w:tc>
          <w:tcPr>
            <w:tcW w:type="dxa" w:w="1234"/>
          </w:tcPr>
          <w:p>
            <w:r>
              <w:t>100 %</w:t>
            </w:r>
          </w:p>
        </w:tc>
        <w:tc>
          <w:tcPr>
            <w:tcW w:type="dxa" w:w="1234"/>
          </w:tcPr>
          <w:p>
            <w:r>
              <w:t>100 %</w:t>
            </w:r>
          </w:p>
        </w:tc>
        <w:tc>
          <w:tcPr>
            <w:tcW w:type="dxa" w:w="1234"/>
          </w:tcPr>
          <w:p>
            <w:r>
              <w:t>Pseudo-Faults &lt; 0,5 % / sonst Stopp</w:t>
            </w:r>
          </w:p>
        </w:tc>
      </w:tr>
      <w:tr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ICT / Flying Probe</w:t>
            </w:r>
          </w:p>
        </w:tc>
        <w:tc>
          <w:tcPr>
            <w:tcW w:type="dxa" w:w="1234"/>
          </w:tcPr>
          <w:p>
            <w:r>
              <w:t>Funktionstest Leiterzuege, Bauteilwerte +/- 5 %</w:t>
            </w:r>
          </w:p>
        </w:tc>
        <w:tc>
          <w:tcPr>
            <w:tcW w:type="dxa" w:w="1234"/>
          </w:tcPr>
          <w:p>
            <w:r>
              <w:t>Teradyne / SPEA 4060</w:t>
            </w:r>
          </w:p>
        </w:tc>
        <w:tc>
          <w:tcPr>
            <w:tcW w:type="dxa" w:w="1234"/>
          </w:tcPr>
          <w:p>
            <w:r>
              <w:t>100 %</w:t>
            </w:r>
          </w:p>
        </w:tc>
        <w:tc>
          <w:tcPr>
            <w:tcW w:type="dxa" w:w="1234"/>
          </w:tcPr>
          <w:p>
            <w:r>
              <w:t>100 %</w:t>
            </w:r>
          </w:p>
        </w:tc>
        <w:tc>
          <w:tcPr>
            <w:tcW w:type="dxa" w:w="1234"/>
          </w:tcPr>
          <w:p>
            <w:r>
              <w:t>Fail-Bin / Nacharbeit / Quarantaene</w:t>
            </w:r>
          </w:p>
        </w:tc>
      </w:tr>
      <w:tr>
        <w:tc>
          <w:tcPr>
            <w:tcW w:type="dxa" w:w="1234"/>
          </w:tcPr>
          <w:p>
            <w:r>
              <w:t>60</w:t>
            </w:r>
          </w:p>
        </w:tc>
        <w:tc>
          <w:tcPr>
            <w:tcW w:type="dxa" w:w="1234"/>
          </w:tcPr>
          <w:p>
            <w:r>
              <w:t>Funktionstest EOL</w:t>
            </w:r>
          </w:p>
        </w:tc>
        <w:tc>
          <w:tcPr>
            <w:tcW w:type="dxa" w:w="1234"/>
          </w:tcPr>
          <w:p>
            <w:r>
              <w:t>Performance- und Software-Test gemaess Kundenspez.</w:t>
            </w:r>
          </w:p>
        </w:tc>
        <w:tc>
          <w:tcPr>
            <w:tcW w:type="dxa" w:w="1234"/>
          </w:tcPr>
          <w:p>
            <w:r>
              <w:t>Pruefstand PRF-ICP-3-01 (kundenfreigegeben)</w:t>
            </w:r>
          </w:p>
        </w:tc>
        <w:tc>
          <w:tcPr>
            <w:tcW w:type="dxa" w:w="1234"/>
          </w:tcPr>
          <w:p>
            <w:r>
              <w:t>100 %</w:t>
            </w:r>
          </w:p>
        </w:tc>
        <w:tc>
          <w:tcPr>
            <w:tcW w:type="dxa" w:w="1234"/>
          </w:tcPr>
          <w:p>
            <w:r>
              <w:t>100 %</w:t>
            </w:r>
          </w:p>
        </w:tc>
        <w:tc>
          <w:tcPr>
            <w:tcW w:type="dxa" w:w="1234"/>
          </w:tcPr>
          <w:p>
            <w:r>
              <w:t>Fail-Bin / 8D-Eroeffnung &gt; 100 ppm</w:t>
            </w:r>
          </w:p>
        </w:tc>
      </w:tr>
      <w:tr>
        <w:tc>
          <w:tcPr>
            <w:tcW w:type="dxa" w:w="1234"/>
          </w:tcPr>
          <w:p>
            <w:r>
              <w:t>70</w:t>
            </w:r>
          </w:p>
        </w:tc>
        <w:tc>
          <w:tcPr>
            <w:tcW w:type="dxa" w:w="1234"/>
          </w:tcPr>
          <w:p>
            <w:r>
              <w:t>Endverpackung / ESD</w:t>
            </w:r>
          </w:p>
        </w:tc>
        <w:tc>
          <w:tcPr>
            <w:tcW w:type="dxa" w:w="1234"/>
          </w:tcPr>
          <w:p>
            <w:r>
              <w:t>ESD-konform, Label nach Kundenspez. (KANBAN/Galia)</w:t>
            </w:r>
          </w:p>
        </w:tc>
        <w:tc>
          <w:tcPr>
            <w:tcW w:type="dxa" w:w="1234"/>
          </w:tcPr>
          <w:p>
            <w:r>
              <w:t>Manuelle Sichtpruefung + Scan</w:t>
            </w:r>
          </w:p>
        </w:tc>
        <w:tc>
          <w:tcPr>
            <w:tcW w:type="dxa" w:w="1234"/>
          </w:tcPr>
          <w:p>
            <w:r>
              <w:t>Stichprobe</w:t>
            </w:r>
          </w:p>
        </w:tc>
        <w:tc>
          <w:tcPr>
            <w:tcW w:type="dxa" w:w="1234"/>
          </w:tcPr>
          <w:p>
            <w:r>
              <w:t>n=10 / Schicht</w:t>
            </w:r>
          </w:p>
        </w:tc>
        <w:tc>
          <w:tcPr>
            <w:tcW w:type="dxa" w:w="1234"/>
          </w:tcPr>
          <w:p>
            <w:r>
              <w:t>Rework / Quarantaene-Bestand</w:t>
            </w:r>
          </w:p>
        </w:tc>
      </w:tr>
    </w:tbl>
    <w:p>
      <w:pPr>
        <w:pStyle w:val="Heading3"/>
      </w:pPr>
      <w:r>
        <w:t>Kunden- und Normspezifika</w:t>
      </w:r>
    </w:p>
    <w:p>
      <w:r>
        <w:t>Anwendbare Kundenforderungen / Normen:</w:t>
        <w:br/>
        <w:t>- IATF 16949:2016 (Quality Management Automotive)</w:t>
        <w:br/>
        <w:t>- ISO 9001:2015 / ISO 14001:2015 / ISO 50001:2018</w:t>
        <w:br/>
        <w:t>- IPC-A-610 Klasse 3 (Verbindungstechnik)</w:t>
        <w:br/>
        <w:t>- AIAG-VDA FMEA Handbuch 1. Ausgabe (2019)</w:t>
        <w:br/>
        <w:t>- VDA 6.3 Prozessaudit (mind. P-Niveau A)</w:t>
        <w:br/>
        <w:t>- Kundenspezifika BMW Group, Mercedes-Benz Group AG (CSR-Matrix in QM-Tool e1NS hinterlegt)</w:t>
      </w:r>
    </w:p>
    <w:p>
      <w:r>
        <w:t>Pruefmittelfaehigkeit (MSA): Cg/Cgk &gt;= 1,33; Gage R&amp;R &lt;= 10 %. Pruefmittel werden kalibriert nach Kalibrierplan RPL-KAL-2023, Intervall 12 Monate, durch DAkkS-akkreditierte Labore (z. B. Testo Industrial Services Polska).</w:t>
      </w:r>
    </w:p>
    <w:p>
      <w:pPr>
        <w:pStyle w:val="Heading3"/>
      </w:pPr>
      <w:r>
        <w:t>Reaktionsplaene und Eskalation</w:t>
      </w:r>
    </w:p>
    <w:p>
      <w:r>
        <w:t>Bei OOS-Werten (out of specification) ist die Linie sofort zu stoppen. Die Schichtleitung eskaliert binnen 15 Minuten an Q-Leitung und Produktionsleitung. Quarantaene aller betroffenen Bestaende. Bei Lieferungen an Kunde innerhalb 24 h: 8D-Eroeffnung (D1 in 24 h, D3 in 48 h, D8 in 21 Tagen). Bei sicherheits- oder typgenehmigungsrelevanten Merkmalen sofortige Information CTO (Dr. Petra Hollmann) und CRO Asia / Konzern-Q (Sabine Brand REG).</w:t>
      </w:r>
    </w:p>
    <w:p>
      <w:pPr>
        <w:pStyle w:val="Heading3"/>
      </w:pPr>
      <w:r>
        <w:t>Freigabe / Approval</w:t>
      </w:r>
    </w:p>
    <w:p>
      <w:r>
        <w:t>Dieser Lenkungsplan ist freigegeben und gueltig.</w:t>
      </w:r>
    </w:p>
    <w:p>
      <w:r>
        <w:t>Ort, Datum: Katowice, den 12. Maerz 2024 (Entwurf)</w:t>
      </w:r>
    </w:p>
    <w:p>
      <w:r>
        <w:t>_________________________            _________________________</w:t>
        <w:br/>
        <w:t>Krzysztof Nowak                          Anna Sokolowska</w:t>
        <w:br/>
        <w:t>Produktionsleiter RPL                          Q-Leitung RPL</w:t>
        <w:br/>
        <w:t>Brennhagen Polska Sp. z o.o.                       Brennhagen Polska Sp. z o.o.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