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Q4 2019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Q4 2019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25.6 Mio. EUR (davon 20.8 Mio. EUR Intercompany-Lieferungen an REG) und ein EBIT von 2.40 Mio. EUR erzielt. Headcount: 950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9.4 %.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12.9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79.4 %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0.82 %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97.0 %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950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Januar 2020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