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Intercompany-Quartalsbericht Q1 2020 – Brennhagen Polska Sp. z o.o.</w:t>
      </w:r>
    </w:p>
    <w:p>
      <w:pPr>
        <w:jc w:val="center"/>
      </w:pPr>
      <w:r>
        <w:t>Bericht an Konzernmutter Brennhagen Elektronik AG, Stuttgart</w:t>
      </w:r>
    </w:p>
    <w:p/>
    <w:p>
      <w:pPr>
        <w:pStyle w:val="Heading3"/>
      </w:pPr>
      <w:r>
        <w:t>Zusammenfassung / Executive Summary</w:t>
      </w:r>
    </w:p>
    <w:p>
      <w:r>
        <w:t>Die Brennhagen Polska Sp. z o.o. (RPL), Werk Katowice, berichtet fuer das Q1 2020 an die Konzernmuttergesellschaft Brennhagen Elektronik AG (REA), Stuttgart, sowie die Zwischenholding Brennhagen Holding GmbH (RHO). Der vorliegende Bericht dokumentiert die intercompany-relevanten Geschaeftsvorfaelle zwischen RPL und REG (Brennhagen Elektronik GmbH, Heilbronn) sowie den Konzernumlagen.</w:t>
      </w:r>
    </w:p>
    <w:p>
      <w:r>
        <w:t>Im Berichtszeitraum wurden Umsatzerloese in Hoehe von 22.4 Mio. EUR (davon 17.9 Mio. EUR Intercompany-Lieferungen an REG) und ein EBIT von 1.78 Mio. EUR erzielt. Headcount: 935 Mitarbeiter (FTE).</w:t>
      </w:r>
    </w:p>
    <w:p>
      <w:pPr>
        <w:pStyle w:val="Heading3"/>
      </w:pPr>
      <w:r>
        <w:t>Verrechnung mit REG Heilbronn</w:t>
      </w:r>
    </w:p>
    <w:p>
      <w:r>
        <w:t>Die Intercompany-Verrechnung zwischen RPL und REG erfolgt nach der konzernweiten Verrechnungspreisrichtlinie (TP-Richtlinie 2018, ueberarbeitet 2022) auf Basis der Transactional Net Margin Method (TNMM) mit einer Ziel-Routinemarge von 4,5 % auf vollkostenbezogene Herstellungskosten (Cost-Plus). Quartalsergebnis: Routinemarge ca. 7.9 %.</w:t>
      </w:r>
    </w:p>
    <w:p>
      <w:r>
        <w:t>Die intercompany-Lieferungen umfassten im Berichtsquartal hauptsaechlich die Produktfamilien ICP-3 (Infotainment-Module), ECU-900 (Powertrain-ECU) sowie Vorbaugruppen fuer ADAS-V4D. Bezahlung in EUR, Zahlungsziel 60 Tage netto. Forderungen gegenueber REG zum Quartalsende: ca. 11.1 Mio. EUR.</w:t>
      </w:r>
    </w:p>
    <w:p>
      <w:pPr>
        <w:pStyle w:val="Heading3"/>
      </w:pPr>
      <w:r>
        <w:t>Operative Kennzahlen / Operational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Bemerkung</w:t>
            </w:r>
          </w:p>
        </w:tc>
      </w:tr>
      <w:tr>
        <w:tc>
          <w:tcPr>
            <w:tcW w:type="dxa" w:w="2160"/>
          </w:tcPr>
          <w:p>
            <w:r>
              <w:t>OEE Gesamtwerk (8 SMD-Linien)</w:t>
            </w:r>
          </w:p>
        </w:tc>
        <w:tc>
          <w:tcPr>
            <w:tcW w:type="dxa" w:w="2160"/>
          </w:tcPr>
          <w:p>
            <w:r>
              <w:t>76.1 %</w:t>
            </w:r>
          </w:p>
        </w:tc>
        <w:tc>
          <w:tcPr>
            <w:tcW w:type="dxa" w:w="2160"/>
          </w:tcPr>
          <w:p>
            <w:r>
              <w:t>&gt;= 78,0 %</w:t>
            </w:r>
          </w:p>
        </w:tc>
        <w:tc>
          <w:tcPr>
            <w:tcW w:type="dxa" w:w="2160"/>
          </w:tcPr>
          <w:p>
            <w:r>
              <w:t>Bestperformance Linie 5/6</w:t>
            </w:r>
          </w:p>
        </w:tc>
      </w:tr>
      <w:tr>
        <w:tc>
          <w:tcPr>
            <w:tcW w:type="dxa" w:w="2160"/>
          </w:tcPr>
          <w:p>
            <w:r>
              <w:t>Ausschussquote (PPM)</w:t>
            </w:r>
          </w:p>
        </w:tc>
        <w:tc>
          <w:tcPr>
            <w:tcW w:type="dxa" w:w="2160"/>
          </w:tcPr>
          <w:p>
            <w:r>
              <w:t>0.95 %</w:t>
            </w:r>
          </w:p>
        </w:tc>
        <w:tc>
          <w:tcPr>
            <w:tcW w:type="dxa" w:w="2160"/>
          </w:tcPr>
          <w:p>
            <w:r>
              <w:t>&lt;= 0,80 %</w:t>
            </w:r>
          </w:p>
        </w:tc>
        <w:tc>
          <w:tcPr>
            <w:tcW w:type="dxa" w:w="2160"/>
          </w:tcPr>
          <w:p>
            <w:r>
              <w:t>Top-Defekte: Solder-Bridge, Tombstone</w:t>
            </w:r>
          </w:p>
        </w:tc>
      </w:tr>
      <w:tr>
        <w:tc>
          <w:tcPr>
            <w:tcW w:type="dxa" w:w="2160"/>
          </w:tcPr>
          <w:p>
            <w:r>
              <w:t>Liefertreue OTIF</w:t>
            </w:r>
          </w:p>
        </w:tc>
        <w:tc>
          <w:tcPr>
            <w:tcW w:type="dxa" w:w="2160"/>
          </w:tcPr>
          <w:p>
            <w:r>
              <w:t>95.2 %</w:t>
            </w:r>
          </w:p>
        </w:tc>
        <w:tc>
          <w:tcPr>
            <w:tcW w:type="dxa" w:w="2160"/>
          </w:tcPr>
          <w:p>
            <w:r>
              <w:t>&gt;= 96,0 %</w:t>
            </w:r>
          </w:p>
        </w:tc>
        <w:tc>
          <w:tcPr>
            <w:tcW w:type="dxa" w:w="2160"/>
          </w:tcPr>
          <w:p>
            <w:r>
              <w:t>Verzoegerungen v. a. RM-Komponenten (Chip-Shortage)</w:t>
            </w:r>
          </w:p>
        </w:tc>
      </w:tr>
      <w:tr>
        <w:tc>
          <w:tcPr>
            <w:tcW w:type="dxa" w:w="2160"/>
          </w:tcPr>
          <w:p>
            <w:r>
              <w:t>Headcount FTE</w:t>
            </w:r>
          </w:p>
        </w:tc>
        <w:tc>
          <w:tcPr>
            <w:tcW w:type="dxa" w:w="2160"/>
          </w:tcPr>
          <w:p>
            <w:r>
              <w:t>935</w:t>
            </w:r>
          </w:p>
        </w:tc>
        <w:tc>
          <w:tcPr>
            <w:tcW w:type="dxa" w:w="2160"/>
          </w:tcPr>
          <w:p>
            <w:r>
              <w:t>950 (Plan)</w:t>
            </w:r>
          </w:p>
        </w:tc>
        <w:tc>
          <w:tcPr>
            <w:tcW w:type="dxa" w:w="2160"/>
          </w:tcPr>
          <w:p>
            <w:r>
              <w:t>Plan +/- 1 %</w:t>
            </w:r>
          </w:p>
        </w:tc>
      </w:tr>
      <w:tr>
        <w:tc>
          <w:tcPr>
            <w:tcW w:type="dxa" w:w="2160"/>
          </w:tcPr>
          <w:p>
            <w:r>
              <w:t>Krankheitsstand</w:t>
            </w:r>
          </w:p>
        </w:tc>
        <w:tc>
          <w:tcPr>
            <w:tcW w:type="dxa" w:w="2160"/>
          </w:tcPr>
          <w:p>
            <w:r>
              <w:t>3,8 %</w:t>
            </w:r>
          </w:p>
        </w:tc>
        <w:tc>
          <w:tcPr>
            <w:tcW w:type="dxa" w:w="2160"/>
          </w:tcPr>
          <w:p>
            <w:r>
              <w:t>&lt;= 4,0 %</w:t>
            </w:r>
          </w:p>
        </w:tc>
        <w:tc>
          <w:tcPr>
            <w:tcW w:type="dxa" w:w="2160"/>
          </w:tcPr>
          <w:p>
            <w:r>
              <w:t>Saisonale Effekte Q1/Q4</w:t>
            </w:r>
          </w:p>
        </w:tc>
      </w:tr>
      <w:tr>
        <w:tc>
          <w:tcPr>
            <w:tcW w:type="dxa" w:w="2160"/>
          </w:tcPr>
          <w:p>
            <w:r>
              <w:t>Energie kWh / Produkt</w:t>
            </w:r>
          </w:p>
        </w:tc>
        <w:tc>
          <w:tcPr>
            <w:tcW w:type="dxa" w:w="2160"/>
          </w:tcPr>
          <w:p>
            <w:r>
              <w:t>1,84</w:t>
            </w:r>
          </w:p>
        </w:tc>
        <w:tc>
          <w:tcPr>
            <w:tcW w:type="dxa" w:w="2160"/>
          </w:tcPr>
          <w:p>
            <w:r>
              <w:t>&lt;= 1,90</w:t>
            </w:r>
          </w:p>
        </w:tc>
        <w:tc>
          <w:tcPr>
            <w:tcW w:type="dxa" w:w="2160"/>
          </w:tcPr>
          <w:p>
            <w:r>
              <w:t>ISO 50001 Massnahmen wirksam</w:t>
            </w:r>
          </w:p>
        </w:tc>
      </w:tr>
    </w:tbl>
    <w:p>
      <w:pPr>
        <w:pStyle w:val="Heading3"/>
      </w:pPr>
      <w:r>
        <w:t>Sozialversicherung / ZUS-Beitraege</w:t>
      </w:r>
    </w:p>
    <w:p>
      <w:r>
        <w:t>Quartalsbeitraege ZUS (Zaklad Ubezpieczen Spolecznych): ca. PLN 18,6 Mio. (Arbeitgeberanteil) und PLN 4,2 Mio. (Arbeitnehmeranteil, abgefuehrt). NFZ-Beitraege PLN 3,1 Mio. PIT-Lohnsteuer PLN 2,8 Mio. Saemtliche Meldungen ZUS DRA / DPA fristgerecht abgegeben. Keine Korrekturmeldungen erforderlich.</w:t>
      </w:r>
    </w:p>
    <w:p>
      <w:pPr>
        <w:pStyle w:val="Heading3"/>
      </w:pPr>
      <w:r>
        <w:t>Personalentwicklung</w:t>
      </w:r>
    </w:p>
    <w:p>
      <w:r>
        <w:t>Anzahl Mitarbeiter (Stichtag Quartalsende): 935 FTE. Veraenderungen im Berichtsquartal: Einstellungen +14 (Schwerpunkt SMD-Operator/in, Q-Inspektor/in), Abgaenge -8 (davon 3 Renteneintritte, 5 Eigenkuendigungen). Fluktuationsrate ann. 8,2 %. Schulungen: 4.180 Schulungsstunden (IATF 16949, ESD, 5S, Lean Production).</w:t>
      </w:r>
    </w:p>
    <w:p>
      <w:pPr>
        <w:pStyle w:val="Heading3"/>
      </w:pPr>
      <w:r>
        <w:t>Risiken / Ausblick</w:t>
      </w:r>
    </w:p>
    <w:p>
      <w:r>
        <w:t>Wesentliche Risiken im Berichtszeitraum: (i) anhaltende Lieferengpaesse bei Halbleitern (insb. NXP, Infineon), (ii) EUR/PLN-Volatilitaet (Hedging-Quote 82 %), (iii) Strompreisentwicklung Polen / Tauron. Mitigation: Dual-Sourcing-Strategie Komponenten, FX-Hedging ueber Konzern-Treasury (M. Pflanzer), PPA-Vertrag Tauron Polska Energia (verlaengert bis 2024).</w:t>
      </w:r>
    </w:p>
    <w:p>
      <w:r>
        <w:t>Status Bericht: final freigegeben.</w:t>
      </w:r>
    </w:p>
    <w:p>
      <w:pPr>
        <w:pStyle w:val="Heading3"/>
      </w:pPr>
      <w:r>
        <w:t>Freigabe</w:t>
      </w:r>
    </w:p>
    <w:p>
      <w:r>
        <w:t>Ort, Datum: Katowice, den 15. April 2020</w:t>
      </w:r>
    </w:p>
    <w:p>
      <w:r>
        <w:t>_________________________            _________________________</w:t>
        <w:br/>
        <w:t>Magdalena Lewandowska                          Marek Wojciechowski</w:t>
        <w:br/>
        <w:t>Finanzcontrollerin RPL                          Werkleiter RPL</w:t>
        <w:br/>
        <w:t>Brennhagen Polska Sp. z o.o.                       Brennhagen Polska Sp. z o.o.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