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Q2 2020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Q2 2020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18.9 Mio. EUR (davon 14.2 Mio. EUR Intercompany-Lieferungen an REG) und ein EBIT von 1.21 Mio. EUR erzielt. Headcount: 920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6.4 %.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8.8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71.4 %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1.18 %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92.8 %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920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Juli 2020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