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Polska Sp. z o.o.</w:t>
      </w:r>
    </w:p>
    <w:p>
      <w:r>
        <w:rPr>
          <w:sz w:val="18"/>
        </w:rPr>
        <w:t>ul. Roozdzienskiego 188, 40-203 Katowice, Polen  |  KRS 0000543210, Sad Rejonowy Katowice-Wschod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IC-Rechnung Nr. RPL-IC-2020-09 – Lieferungen September 2020</w:t>
      </w:r>
    </w:p>
    <w:p>
      <w:pPr>
        <w:jc w:val="center"/>
      </w:pPr>
      <w:r>
        <w:t>Brennhagen Polska Sp. z o.o. → Brennhagen Elektronik GmbH</w:t>
      </w:r>
    </w:p>
    <w:p/>
    <w:p>
      <w:pPr>
        <w:pStyle w:val="Heading3"/>
      </w:pPr>
      <w:r>
        <w:t>Rechnungsstellerin / Wystawca faktury</w:t>
      </w:r>
    </w:p>
    <w:p>
      <w:r>
        <w:t>Brennhagen Polska Sp. z o.o.</w:t>
        <w:br/>
        <w:t>ul. Roozdzienskiego 188, 40-203 Katowice, Polen</w:t>
        <w:br/>
        <w:t>KRS KRS 0000543210, Sad Rejonowy Katowice-Wschod</w:t>
        <w:br/>
        <w:t>NIP PL 634-287-91-04, REGON 367281904</w:t>
        <w:br/>
        <w:t>Bankverbindung: PKO Bank Polski S.A., IBAN PL27 1020 2313 0000 3102 0512 9876, BIC BPKOPLPW</w:t>
        <w:br/>
        <w:t>Vertretungsberechtigt: Marek Wojciechowski (Dyrektor Zakladu)</w:t>
      </w:r>
    </w:p>
    <w:p>
      <w:pPr>
        <w:pStyle w:val="Heading3"/>
      </w:pPr>
      <w:r>
        <w:t>Rechnungsempfaengerin / Odbiorca</w:t>
      </w:r>
    </w:p>
    <w:p>
      <w:r>
        <w:t>Brennhagen Elektronik GmbH (REG)</w:t>
        <w:br/>
        <w:t>Gottlieb-Daimler-Strasse 24, 74172 Neckarsulm-Heilbronn</w:t>
        <w:br/>
        <w:t>HRB 221456, Amtsgericht Heilbronn</w:t>
        <w:br/>
        <w:t>USt-IdNr. DE 287 645 109</w:t>
        <w:br/>
        <w:t>Ansprechpartner: Finance-Team REG (sap-id 412)</w:t>
      </w:r>
    </w:p>
    <w:p>
      <w:pPr>
        <w:pStyle w:val="Heading3"/>
      </w:pPr>
      <w:r>
        <w:t>Rechnungsangaben</w:t>
      </w:r>
    </w:p>
    <w:p>
      <w:r>
        <w:t>Rechnungsnummer: RPL-IC-2020-09</w:t>
        <w:br/>
        <w:t>Rechnungsdatum: 28. September 2020</w:t>
        <w:br/>
        <w:t>Leistungszeitraum: 1.–30. September 2020</w:t>
        <w:br/>
        <w:t>Waehrung: EUR (gemaess IC-Rahmenvertrag REA-IC-2018)</w:t>
        <w:br/>
        <w:t>Zahlungsziel: 60 Tage netto, Faelligkeit ca. Oktober 2020</w:t>
        <w:br/>
        <w:t>Bestellbezug: REG-PO-2020-09 (Rahmen-Liefervereinbarung)</w:t>
        <w:br/>
        <w:t>Verrechnungsbasis: Transferpreisrichtlinie 2018 (TNMM, Cost-Plus 4,5 %)</w:t>
      </w:r>
    </w:p>
    <w:p>
      <w:pPr>
        <w:pStyle w:val="Heading3"/>
      </w:pPr>
      <w:r>
        <w:t>Leistungsbeschreibung / Specification of 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Pos</w:t>
            </w:r>
          </w:p>
        </w:tc>
        <w:tc>
          <w:tcPr>
            <w:tcW w:type="dxa" w:w="1440"/>
          </w:tcPr>
          <w:p>
            <w:r>
              <w:t>Artikel-Nr.</w:t>
            </w:r>
          </w:p>
        </w:tc>
        <w:tc>
          <w:tcPr>
            <w:tcW w:type="dxa" w:w="1440"/>
          </w:tcPr>
          <w:p>
            <w:r>
              <w:t>Beschreibung</w:t>
            </w:r>
          </w:p>
        </w:tc>
        <w:tc>
          <w:tcPr>
            <w:tcW w:type="dxa" w:w="1440"/>
          </w:tcPr>
          <w:p>
            <w:r>
              <w:t>Menge</w:t>
            </w:r>
          </w:p>
        </w:tc>
        <w:tc>
          <w:tcPr>
            <w:tcW w:type="dxa" w:w="1440"/>
          </w:tcPr>
          <w:p>
            <w:r>
              <w:t>EP (EUR)</w:t>
            </w:r>
          </w:p>
        </w:tc>
        <w:tc>
          <w:tcPr>
            <w:tcW w:type="dxa" w:w="1440"/>
          </w:tcPr>
          <w:p>
            <w:r>
              <w:t>Betrag (EUR)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BG-ICP3-S-002</w:t>
            </w:r>
          </w:p>
        </w:tc>
        <w:tc>
          <w:tcPr>
            <w:tcW w:type="dxa" w:w="1440"/>
          </w:tcPr>
          <w:p>
            <w:r>
              <w:t>ICP-3 Sub-Assy LRR-71</w:t>
            </w:r>
          </w:p>
        </w:tc>
        <w:tc>
          <w:tcPr>
            <w:tcW w:type="dxa" w:w="1440"/>
          </w:tcPr>
          <w:p>
            <w:r>
              <w:t>18.400</w:t>
            </w:r>
          </w:p>
        </w:tc>
        <w:tc>
          <w:tcPr>
            <w:tcW w:type="dxa" w:w="1440"/>
          </w:tcPr>
          <w:p>
            <w:r>
              <w:t>14,50</w:t>
            </w:r>
          </w:p>
        </w:tc>
        <w:tc>
          <w:tcPr>
            <w:tcW w:type="dxa" w:w="1440"/>
          </w:tcPr>
          <w:p>
            <w:r>
              <w:t>266.800,00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BG-ECU900-PCBA-A</w:t>
            </w:r>
          </w:p>
        </w:tc>
        <w:tc>
          <w:tcPr>
            <w:tcW w:type="dxa" w:w="1440"/>
          </w:tcPr>
          <w:p>
            <w:r>
              <w:t>ECU-900 PCBA bestueckt</w:t>
            </w:r>
          </w:p>
        </w:tc>
        <w:tc>
          <w:tcPr>
            <w:tcW w:type="dxa" w:w="1440"/>
          </w:tcPr>
          <w:p>
            <w:r>
              <w:t>12.200</w:t>
            </w:r>
          </w:p>
        </w:tc>
        <w:tc>
          <w:tcPr>
            <w:tcW w:type="dxa" w:w="1440"/>
          </w:tcPr>
          <w:p>
            <w:r>
              <w:t>22,80</w:t>
            </w:r>
          </w:p>
        </w:tc>
        <w:tc>
          <w:tcPr>
            <w:tcW w:type="dxa" w:w="1440"/>
          </w:tcPr>
          <w:p>
            <w:r>
              <w:t>278.160,00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BG-ADASV4D-FE-01</w:t>
            </w:r>
          </w:p>
        </w:tc>
        <w:tc>
          <w:tcPr>
            <w:tcW w:type="dxa" w:w="1440"/>
          </w:tcPr>
          <w:p>
            <w:r>
              <w:t>ADAS-V4D Front-End Modul</w:t>
            </w:r>
          </w:p>
        </w:tc>
        <w:tc>
          <w:tcPr>
            <w:tcW w:type="dxa" w:w="1440"/>
          </w:tcPr>
          <w:p>
            <w:r>
              <w:t>4.800</w:t>
            </w:r>
          </w:p>
        </w:tc>
        <w:tc>
          <w:tcPr>
            <w:tcW w:type="dxa" w:w="1440"/>
          </w:tcPr>
          <w:p>
            <w:r>
              <w:t>78,20</w:t>
            </w:r>
          </w:p>
        </w:tc>
        <w:tc>
          <w:tcPr>
            <w:tcW w:type="dxa" w:w="1440"/>
          </w:tcPr>
          <w:p>
            <w:r>
              <w:t>375.360,00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BG-LC7-PCBA-02</w:t>
            </w:r>
          </w:p>
        </w:tc>
        <w:tc>
          <w:tcPr>
            <w:tcW w:type="dxa" w:w="1440"/>
          </w:tcPr>
          <w:p>
            <w:r>
              <w:t>LightCtrl-7 PCBA</w:t>
            </w:r>
          </w:p>
        </w:tc>
        <w:tc>
          <w:tcPr>
            <w:tcW w:type="dxa" w:w="1440"/>
          </w:tcPr>
          <w:p>
            <w:r>
              <w:t>9.600</w:t>
            </w:r>
          </w:p>
        </w:tc>
        <w:tc>
          <w:tcPr>
            <w:tcW w:type="dxa" w:w="1440"/>
          </w:tcPr>
          <w:p>
            <w:r>
              <w:t>18,40</w:t>
            </w:r>
          </w:p>
        </w:tc>
        <w:tc>
          <w:tcPr>
            <w:tcW w:type="dxa" w:w="1440"/>
          </w:tcPr>
          <w:p>
            <w:r>
              <w:t>176.640,00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WZG-Q-PROZESS</w:t>
            </w:r>
          </w:p>
        </w:tc>
        <w:tc>
          <w:tcPr>
            <w:tcW w:type="dxa" w:w="1440"/>
          </w:tcPr>
          <w:p>
            <w:r>
              <w:t>Werkzeug- und Pruefmittelumlage (anteilig)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45.740,00</w:t>
            </w:r>
          </w:p>
        </w:tc>
        <w:tc>
          <w:tcPr>
            <w:tcW w:type="dxa" w:w="1440"/>
          </w:tcPr>
          <w:p>
            <w:r>
              <w:t>45.740,00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Nettobetrag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1.142.700,00</w:t>
            </w:r>
          </w:p>
        </w:tc>
      </w:tr>
    </w:tbl>
    <w:p>
      <w:pPr>
        <w:pStyle w:val="Heading3"/>
      </w:pPr>
      <w:r>
        <w:t>Umsatzsteuerliche Behandlung</w:t>
      </w:r>
    </w:p>
    <w:p>
      <w:r>
        <w:t>Innergemeinschaftliche Lieferung (B2B) gemaess Art. 138 MwStSystRL. Steuerfreie Lieferung in einen anderen EU-Mitgliedstaat (Deutschland). USt-IdNr. Lieferant: PL 634-287-91-04; USt-IdNr. Empfaenger: DE 287 645 109. Reverse-Charge-Verfahren. Belegnachweis (Versandpapiere CMR Nr. CMR-RPL-IC-2020-09) und Buchnachweis liegen vor. Meldung INTRASTAT erfolgt monatlich an GUS (Glowny Urzad Statystyczny).</w:t>
      </w:r>
    </w:p>
    <w:p>
      <w:r>
        <w:t>Status: final. Freigegeben durch Finanzcontrolling RPL (M. Lewandowska, 4. Oktober 2020).</w:t>
      </w:r>
    </w:p>
    <w:p>
      <w:pPr>
        <w:pStyle w:val="Heading3"/>
      </w:pPr>
      <w:r>
        <w:t>Hinweise</w:t>
      </w:r>
    </w:p>
    <w:p>
      <w:r>
        <w:t>Rechnung erstellt auf Basis Rahmenliefervertrag REA-IC-RPL-REG-2018. Streitigkeiten werden gemaess Schiedsklausel (DIS Frankfurt) beigelegt. Eine Kopie geht an Group Treasury (M. Pflanzer) und Group Tax (Dr. H. Berger). Buchung erfolgt in SAP S/4HANA unter Belegart RV / Buchungskreis PL10.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