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Versicherungsnachweis / Zaswiadczenie ubezpieczeniowe 2023 – Brennhagen Polska Sp. z o.o.</w:t>
      </w:r>
    </w:p>
    <w:p>
      <w:pPr>
        <w:jc w:val="center"/>
      </w:pPr>
      <w:r>
        <w:t>Bestaetigung der bestehenden Versicherungsdeckung fuer das Geschaeftsjahr 2023</w:t>
      </w:r>
    </w:p>
    <w:p/>
    <w:p>
      <w:pPr>
        <w:pStyle w:val="Heading3"/>
      </w:pPr>
      <w:r>
        <w:t>Versicherer / Ubezpieczyciel</w:t>
      </w:r>
    </w:p>
    <w:p>
      <w:r>
        <w:t>Hiermit bestaetigt die</w:t>
      </w:r>
    </w:p>
    <w:p>
      <w:r>
        <w:t>Allianz Polska S.A.</w:t>
        <w:br/>
        <w:t>ul. Rodziny Hiszpanskich 1, 02-685 Warschau</w:t>
        <w:br/>
        <w:t>KRS 0000028261, NIP 525-15-65-015</w:t>
      </w:r>
    </w:p>
    <w:p>
      <w:r>
        <w:t>(im Folgenden »Versicherer«), dass die</w:t>
      </w:r>
    </w:p>
    <w:p>
      <w:r>
        <w:t>Brennhagen Polska Sp. z o.o., ul. Roozdzienskiego 188, 40-203 Katowice, Polen, KRS KRS 0000543210, Sad Rejonowy Katowice-Wschod, NIP PL 634-287-91-04</w:t>
      </w:r>
    </w:p>
    <w:p>
      <w:r>
        <w:t>(im Folgenden »Versicherungsnehmer«) im Berichtsjahr 2023 die folgenden Versicherungsvertraege unterhaelt:</w:t>
      </w:r>
    </w:p>
    <w:p>
      <w:pPr>
        <w:pStyle w:val="Heading3"/>
      </w:pPr>
      <w:r>
        <w:t>Bestehende Versicherungspolicen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Sparte</w:t>
            </w:r>
          </w:p>
        </w:tc>
        <w:tc>
          <w:tcPr>
            <w:tcW w:type="dxa" w:w="1728"/>
          </w:tcPr>
          <w:p>
            <w:r>
              <w:t>Policen-Nr.</w:t>
            </w:r>
          </w:p>
        </w:tc>
        <w:tc>
          <w:tcPr>
            <w:tcW w:type="dxa" w:w="1728"/>
          </w:tcPr>
          <w:p>
            <w:r>
              <w:t>Deckungssumme</w:t>
            </w:r>
          </w:p>
        </w:tc>
        <w:tc>
          <w:tcPr>
            <w:tcW w:type="dxa" w:w="1728"/>
          </w:tcPr>
          <w:p>
            <w:r>
              <w:t>Selbstbehalt</w:t>
            </w:r>
          </w:p>
        </w:tc>
        <w:tc>
          <w:tcPr>
            <w:tcW w:type="dxa" w:w="1728"/>
          </w:tcPr>
          <w:p>
            <w:r>
              <w:t>Laufzeit</w:t>
            </w:r>
          </w:p>
        </w:tc>
      </w:tr>
      <w:tr>
        <w:tc>
          <w:tcPr>
            <w:tcW w:type="dxa" w:w="1728"/>
          </w:tcPr>
          <w:p>
            <w:r>
              <w:t>Gebaeude- und Inhaltsversicherung</w:t>
            </w:r>
          </w:p>
        </w:tc>
        <w:tc>
          <w:tcPr>
            <w:tcW w:type="dxa" w:w="1728"/>
          </w:tcPr>
          <w:p>
            <w:r>
              <w:t>POL-2023-RPL-GBK-001</w:t>
            </w:r>
          </w:p>
        </w:tc>
        <w:tc>
          <w:tcPr>
            <w:tcW w:type="dxa" w:w="1728"/>
          </w:tcPr>
          <w:p>
            <w:r>
              <w:t>PLN 280 Mio.</w:t>
            </w:r>
          </w:p>
        </w:tc>
        <w:tc>
          <w:tcPr>
            <w:tcW w:type="dxa" w:w="1728"/>
          </w:tcPr>
          <w:p>
            <w:r>
              <w:t>PLN 50.000 / Schaden</w:t>
            </w:r>
          </w:p>
        </w:tc>
        <w:tc>
          <w:tcPr>
            <w:tcW w:type="dxa" w:w="1728"/>
          </w:tcPr>
          <w:p>
            <w:r>
              <w:t>01.01.–31.12.2023</w:t>
            </w:r>
          </w:p>
        </w:tc>
      </w:tr>
      <w:tr>
        <w:tc>
          <w:tcPr>
            <w:tcW w:type="dxa" w:w="1728"/>
          </w:tcPr>
          <w:p>
            <w:r>
              <w:t>Betriebsunterbrechung (BU 12 Mon.)</w:t>
            </w:r>
          </w:p>
        </w:tc>
        <w:tc>
          <w:tcPr>
            <w:tcW w:type="dxa" w:w="1728"/>
          </w:tcPr>
          <w:p>
            <w:r>
              <w:t>POL-2023-RPL-BU-002</w:t>
            </w:r>
          </w:p>
        </w:tc>
        <w:tc>
          <w:tcPr>
            <w:tcW w:type="dxa" w:w="1728"/>
          </w:tcPr>
          <w:p>
            <w:r>
              <w:t>PLN 95 Mio.</w:t>
            </w:r>
          </w:p>
        </w:tc>
        <w:tc>
          <w:tcPr>
            <w:tcW w:type="dxa" w:w="1728"/>
          </w:tcPr>
          <w:p>
            <w:r>
              <w:t>7 Tage Wartezeit</w:t>
            </w:r>
          </w:p>
        </w:tc>
        <w:tc>
          <w:tcPr>
            <w:tcW w:type="dxa" w:w="1728"/>
          </w:tcPr>
          <w:p>
            <w:r>
              <w:t>01.01.–31.12.2023</w:t>
            </w:r>
          </w:p>
        </w:tc>
      </w:tr>
      <w:tr>
        <w:tc>
          <w:tcPr>
            <w:tcW w:type="dxa" w:w="1728"/>
          </w:tcPr>
          <w:p>
            <w:r>
              <w:t>Maschinenbruch / Maschinen-BU</w:t>
            </w:r>
          </w:p>
        </w:tc>
        <w:tc>
          <w:tcPr>
            <w:tcW w:type="dxa" w:w="1728"/>
          </w:tcPr>
          <w:p>
            <w:r>
              <w:t>POL-2023-RPL-MB-003</w:t>
            </w:r>
          </w:p>
        </w:tc>
        <w:tc>
          <w:tcPr>
            <w:tcW w:type="dxa" w:w="1728"/>
          </w:tcPr>
          <w:p>
            <w:r>
              <w:t>PLN 62 Mio.</w:t>
            </w:r>
          </w:p>
        </w:tc>
        <w:tc>
          <w:tcPr>
            <w:tcW w:type="dxa" w:w="1728"/>
          </w:tcPr>
          <w:p>
            <w:r>
              <w:t>PLN 25.000</w:t>
            </w:r>
          </w:p>
        </w:tc>
        <w:tc>
          <w:tcPr>
            <w:tcW w:type="dxa" w:w="1728"/>
          </w:tcPr>
          <w:p>
            <w:r>
              <w:t>01.01.–31.12.2023</w:t>
            </w:r>
          </w:p>
        </w:tc>
      </w:tr>
      <w:tr>
        <w:tc>
          <w:tcPr>
            <w:tcW w:type="dxa" w:w="1728"/>
          </w:tcPr>
          <w:p>
            <w:r>
              <w:t>Betriebs- und Produkthaftpflicht</w:t>
            </w:r>
          </w:p>
        </w:tc>
        <w:tc>
          <w:tcPr>
            <w:tcW w:type="dxa" w:w="1728"/>
          </w:tcPr>
          <w:p>
            <w:r>
              <w:t>POL-2023-RPL-LIA-004</w:t>
            </w:r>
          </w:p>
        </w:tc>
        <w:tc>
          <w:tcPr>
            <w:tcW w:type="dxa" w:w="1728"/>
          </w:tcPr>
          <w:p>
            <w:r>
              <w:t>PLN 25 Mio. / Jahr</w:t>
            </w:r>
          </w:p>
        </w:tc>
        <w:tc>
          <w:tcPr>
            <w:tcW w:type="dxa" w:w="1728"/>
          </w:tcPr>
          <w:p>
            <w:r>
              <w:t>PLN 15.000</w:t>
            </w:r>
          </w:p>
        </w:tc>
        <w:tc>
          <w:tcPr>
            <w:tcW w:type="dxa" w:w="1728"/>
          </w:tcPr>
          <w:p>
            <w:r>
              <w:t>01.01.–31.12.2023</w:t>
            </w:r>
          </w:p>
        </w:tc>
      </w:tr>
      <w:tr>
        <w:tc>
          <w:tcPr>
            <w:tcW w:type="dxa" w:w="1728"/>
          </w:tcPr>
          <w:p>
            <w:r>
              <w:t>Erweiterte Produkthaftpflicht (Auto-Sektor)</w:t>
            </w:r>
          </w:p>
        </w:tc>
        <w:tc>
          <w:tcPr>
            <w:tcW w:type="dxa" w:w="1728"/>
          </w:tcPr>
          <w:p>
            <w:r>
              <w:t>POL-2023-RPL-EPL-005</w:t>
            </w:r>
          </w:p>
        </w:tc>
        <w:tc>
          <w:tcPr>
            <w:tcW w:type="dxa" w:w="1728"/>
          </w:tcPr>
          <w:p>
            <w:r>
              <w:t>EUR 20 Mio. (via Konzern-Master AGCS)</w:t>
            </w:r>
          </w:p>
        </w:tc>
        <w:tc>
          <w:tcPr>
            <w:tcW w:type="dxa" w:w="1728"/>
          </w:tcPr>
          <w:p>
            <w:r>
              <w:t>EUR 250.000</w:t>
            </w:r>
          </w:p>
        </w:tc>
        <w:tc>
          <w:tcPr>
            <w:tcW w:type="dxa" w:w="1728"/>
          </w:tcPr>
          <w:p>
            <w:r>
              <w:t>Konzern-Master</w:t>
            </w:r>
          </w:p>
        </w:tc>
      </w:tr>
      <w:tr>
        <w:tc>
          <w:tcPr>
            <w:tcW w:type="dxa" w:w="1728"/>
          </w:tcPr>
          <w:p>
            <w:r>
              <w:t>Transportversicherung (Stueckgueter / CMR)</w:t>
            </w:r>
          </w:p>
        </w:tc>
        <w:tc>
          <w:tcPr>
            <w:tcW w:type="dxa" w:w="1728"/>
          </w:tcPr>
          <w:p>
            <w:r>
              <w:t>POL-2023-RPL-TR-006</w:t>
            </w:r>
          </w:p>
        </w:tc>
        <w:tc>
          <w:tcPr>
            <w:tcW w:type="dxa" w:w="1728"/>
          </w:tcPr>
          <w:p>
            <w:r>
              <w:t>PLN 12 Mio. / Transport</w:t>
            </w:r>
          </w:p>
        </w:tc>
        <w:tc>
          <w:tcPr>
            <w:tcW w:type="dxa" w:w="1728"/>
          </w:tcPr>
          <w:p>
            <w:r>
              <w:t>PLN 5.000</w:t>
            </w:r>
          </w:p>
        </w:tc>
        <w:tc>
          <w:tcPr>
            <w:tcW w:type="dxa" w:w="1728"/>
          </w:tcPr>
          <w:p>
            <w:r>
              <w:t>01.01.–31.12.2023</w:t>
            </w:r>
          </w:p>
        </w:tc>
      </w:tr>
      <w:tr>
        <w:tc>
          <w:tcPr>
            <w:tcW w:type="dxa" w:w="1728"/>
          </w:tcPr>
          <w:p>
            <w:r>
              <w:t>Cyber-Versicherung</w:t>
            </w:r>
          </w:p>
        </w:tc>
        <w:tc>
          <w:tcPr>
            <w:tcW w:type="dxa" w:w="1728"/>
          </w:tcPr>
          <w:p>
            <w:r>
              <w:t>POL-2023-RPL-CYB-007</w:t>
            </w:r>
          </w:p>
        </w:tc>
        <w:tc>
          <w:tcPr>
            <w:tcW w:type="dxa" w:w="1728"/>
          </w:tcPr>
          <w:p>
            <w:r>
              <w:t>EUR 15 Mio. (Konzern-Master AGCS)</w:t>
            </w:r>
          </w:p>
        </w:tc>
        <w:tc>
          <w:tcPr>
            <w:tcW w:type="dxa" w:w="1728"/>
          </w:tcPr>
          <w:p>
            <w:r>
              <w:t>EUR 100.000</w:t>
            </w:r>
          </w:p>
        </w:tc>
        <w:tc>
          <w:tcPr>
            <w:tcW w:type="dxa" w:w="1728"/>
          </w:tcPr>
          <w:p>
            <w:r>
              <w:t>Konzern-Master</w:t>
            </w:r>
          </w:p>
        </w:tc>
      </w:tr>
      <w:tr>
        <w:tc>
          <w:tcPr>
            <w:tcW w:type="dxa" w:w="1728"/>
          </w:tcPr>
          <w:p>
            <w:r>
              <w:t>D&amp;O (Geschaeftsfuehrung)</w:t>
            </w:r>
          </w:p>
        </w:tc>
        <w:tc>
          <w:tcPr>
            <w:tcW w:type="dxa" w:w="1728"/>
          </w:tcPr>
          <w:p>
            <w:r>
              <w:t>POL-2023-RPL-DO-008</w:t>
            </w:r>
          </w:p>
        </w:tc>
        <w:tc>
          <w:tcPr>
            <w:tcW w:type="dxa" w:w="1728"/>
          </w:tcPr>
          <w:p>
            <w:r>
              <w:t>EUR 50 Mio. (Konzern-Master AGCS)</w:t>
            </w:r>
          </w:p>
        </w:tc>
        <w:tc>
          <w:tcPr>
            <w:tcW w:type="dxa" w:w="1728"/>
          </w:tcPr>
          <w:p>
            <w:r>
              <w:t>EUR 50.000</w:t>
            </w:r>
          </w:p>
        </w:tc>
        <w:tc>
          <w:tcPr>
            <w:tcW w:type="dxa" w:w="1728"/>
          </w:tcPr>
          <w:p>
            <w:r>
              <w:t>Konzern-Master</w:t>
            </w:r>
          </w:p>
        </w:tc>
      </w:tr>
      <w:tr>
        <w:tc>
          <w:tcPr>
            <w:tcW w:type="dxa" w:w="1728"/>
          </w:tcPr>
          <w:p>
            <w:r>
              <w:t>ZUS / Sozialversicherung</w:t>
            </w:r>
          </w:p>
        </w:tc>
        <w:tc>
          <w:tcPr>
            <w:tcW w:type="dxa" w:w="1728"/>
          </w:tcPr>
          <w:p>
            <w:r>
              <w:t>n/a (gesetzlich)</w:t>
            </w:r>
          </w:p>
        </w:tc>
        <w:tc>
          <w:tcPr>
            <w:tcW w:type="dxa" w:w="1728"/>
          </w:tcPr>
          <w:p>
            <w:r>
              <w:t>Gesetzliche Deckung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fortlaufend</w:t>
            </w:r>
          </w:p>
        </w:tc>
      </w:tr>
    </w:tbl>
    <w:p>
      <w:pPr>
        <w:pStyle w:val="Heading3"/>
      </w:pPr>
      <w:r>
        <w:t>Erlaeuterungen</w:t>
      </w:r>
    </w:p>
    <w:p>
      <w:r>
        <w:t>Die Konzern-Master-Policen (D&amp;O, Cyber, Erweiterte Produkthaftpflicht) werden ueber die Allianz Global Corporate &amp; Specialty SE (AGCS, Muenchen) im Rahmen des konzernweiten Versicherungsprogramms Brennhagen Elektronik AG (Insurance Master Agreement IMA-2022) abgeschlossen. Lokale Policen werden ueber die Allianz Polska S.A. als Frontingversicherer erbracht.</w:t>
      </w:r>
    </w:p>
    <w:p>
      <w:r>
        <w:t>Versicherungsmakler ist die Marsh GmbH (Frankfurt) mit lokaler Repraesentanz Marsh Polska Sp. z o.o. (Warschau). Ansprechpartner: Tomasz Zielinski (Marsh Polska Senior Broker, Industriebereich).</w:t>
      </w:r>
    </w:p>
    <w:p>
      <w:pPr>
        <w:pStyle w:val="Heading3"/>
      </w:pPr>
      <w:r>
        <w:t>Schadensverlauf 2023</w:t>
      </w:r>
    </w:p>
    <w:p>
      <w:r>
        <w:t>Im Berichtsjahr 2023 wurden 4 versicherte Schaeden gemeldet:</w:t>
      </w:r>
    </w:p>
    <w:p>
      <w:r>
        <w:t>1. Wasserschaden Dach Halle 2 (Januar 2023, regulierte Schadenshoehe PLN 184.000)</w:t>
        <w:br/>
        <w:t>2. Maschinenschaden Reflow-Ofen Linie 3 (April 2023, PLN 412.000)</w:t>
        <w:br/>
        <w:t>3. Transportschaden ICP-3-Lieferung an REG (Juli 2023, PLN 38.000)</w:t>
        <w:br/>
        <w:t>4. Cyber-Vorfall (Phishing-Versuch, kein Versicherungsfall ausgeloest, praeventive Massnahmen 2024 geplant)</w:t>
      </w:r>
    </w:p>
    <w:p>
      <w:r>
        <w:t>Gesamte regulierte Leistung 2023: ca. PLN 634.000. Schadensquote (loss ratio) ca. 18 % der Praemien (regulaer).</w:t>
      </w:r>
    </w:p>
    <w:p>
      <w:pPr>
        <w:pStyle w:val="Heading3"/>
      </w:pPr>
      <w:r>
        <w:t>Bestaetigung / Wystawienie zaswiadczenia</w:t>
      </w:r>
    </w:p>
    <w:p>
      <w:r>
        <w:t>Diese Bestaetigung wird auf Anforderung der Konzernmuttergesellschaft Brennhagen Elektronik AG fuer Zwecke der Due-Diligence-Pruefung sowie des Konzern-Risikomanagements ausgestellt.</w:t>
      </w:r>
    </w:p>
    <w:p>
      <w:r>
        <w:t>Ort, Datum: Warschau, den 15. Januar 2024</w:t>
      </w:r>
    </w:p>
    <w:p>
      <w:r>
        <w:t>_________________________            _________________________</w:t>
        <w:br/>
        <w:t>Krzysztof Borowski                          Tomasz Zielinski</w:t>
        <w:br/>
        <w:t>Senior Underwriter Industrie                          Senior Broker</w:t>
        <w:br/>
        <w:t>Allianz Polska S.A.                       Marsh Polska Sp. z o.o.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