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Polska Sp. z o.o.</w:t>
      </w:r>
    </w:p>
    <w:p>
      <w:r>
        <w:rPr>
          <w:sz w:val="18"/>
        </w:rPr>
        <w:t>ul. Roozdzienskiego 188, 40-203 Katowice, Polen  |  KRS 0000543210, Sad Rejonowy Katowice-Wschod</w:t>
      </w:r>
    </w:p>
    <w:p>
      <w:r>
        <w:t>────────────────────────────────────────────────────────────────────────────────</w:t>
      </w:r>
    </w:p>
    <w:p>
      <w:pPr>
        <w:pStyle w:val="Heading2"/>
      </w:pPr>
      <w:r>
        <w:t>Management Letter Abschlusspruefung 2022 – Brennhagen Polska Sp. z o.o.</w:t>
      </w:r>
    </w:p>
    <w:p>
      <w:pPr>
        <w:jc w:val="center"/>
      </w:pPr>
      <w:r>
        <w:t>Pruefer: Deloitte Polska Sp. z o.o. (lokal) / KPMG AG WPG (Konzern)</w:t>
      </w:r>
    </w:p>
    <w:p/>
    <w:p>
      <w:pPr>
        <w:pStyle w:val="Heading3"/>
      </w:pPr>
      <w:r>
        <w:t>Adressaten</w:t>
      </w:r>
    </w:p>
    <w:p>
      <w:r>
        <w:t>An die Geschaeftsfuehrung der Brennhagen Polska Sp. z o.o. (Marek Wojciechowski, Magdalena Lewandowska) sowie nachrichtlich an die Konzern-WP KPMG AG WPG (Lead Partner Konzern: Dr. Maximilian Brand) und an den Group Tax Director der Brennhagen Elektronik AG (Dr. Heike Berger).</w:t>
      </w:r>
    </w:p>
    <w:p>
      <w:pPr>
        <w:pStyle w:val="Heading3"/>
      </w:pPr>
      <w:r>
        <w:t>Praeambel</w:t>
      </w:r>
    </w:p>
    <w:p>
      <w:r>
        <w:t>Im Rahmen unserer Abschlusspruefung des Jahresabschlusses 2022 der Brennhagen Polska Sp. z o.o. nach polnischem Bilanzrecht (Ustawa o rachunkowosci) sowie der Pruefung des Reporting-Packages nach IFRS fuer Zwecke des Konzernabschlusses der Brennhagen Elektronik AG haben wir gemaess Pruefungsstandard KSB 265 (analog ISA 265) den Aufsichtsorganen wesentliche Feststellungen zum Internen Kontrollsystem und zu Bilanzierungsfragen mitzuteilen. Dies ist Gegenstand des vorliegenden Management Letters.</w:t>
      </w:r>
    </w:p>
    <w:p>
      <w:pPr>
        <w:pStyle w:val="Heading3"/>
      </w:pPr>
      <w:r>
        <w:t>Wesentliche Feststellungen / Kluczowe ustalenia</w:t>
      </w:r>
    </w:p>
    <w:p>
      <w:pPr>
        <w:pStyle w:val="ListBullet"/>
      </w:pPr>
      <w:r>
        <w:t>Inventur-Bestaende SMD-Komponenten zum 31.12.2022: Stichproben-Differenz 0,8 % gegenueber Buchbestand (im akzeptierten Toleranzbereich +/- 1,0 %); Empfehlung: zusaetzliche Cycle-Counts in Q1/Q3.</w:t>
      </w:r>
    </w:p>
    <w:p>
      <w:pPr>
        <w:pStyle w:val="ListBullet"/>
      </w:pPr>
      <w:r>
        <w:t>Rueckstellung fuer Gewaehrleistungen ICP-3 Plattform: methodische Aktualisierung der Schadensquoten auf Basis 5-Jahres-Reihe (statt 3 Jahre) empfohlen; Quantifizierungseffekt ca. PLN 1,8 Mio. (umgesetzt 2023).</w:t>
      </w:r>
    </w:p>
    <w:p>
      <w:pPr>
        <w:pStyle w:val="ListBullet"/>
      </w:pPr>
      <w:r>
        <w:t>Berechtigungen SAP S/4HANA: 4 Faelle mit Doppelrollen (Wareneingangsbuchung + Rechnungsfreigabe) identifiziert; Massnahme: Trennung bis 31.03.2023 umgesetzt; Re-Pruefung bestaetigt.</w:t>
      </w:r>
    </w:p>
    <w:p>
      <w:pPr>
        <w:pStyle w:val="ListBullet"/>
      </w:pPr>
      <w:r>
        <w:t>TP-Dokumentation Local File 2022: termingerecht abgegeben (30.11.2022). Benchmark-Studie ueberprueft und plausibel; Empfehlung: Aktualisierung der Vergleichsstudie in 2024 (Drei-Jahres-Turnus).</w:t>
      </w:r>
    </w:p>
    <w:p>
      <w:pPr>
        <w:pStyle w:val="ListBullet"/>
      </w:pPr>
      <w:r>
        <w:t>ZUS-Abgaben Q4/2022 wegen Systemwechsel ZUS-Tool ePlatnik mit eintaegigem Verzug abgefuehrt; Verzugszinsen PLN 412 (unwesentlich); Prozess in 2023 stabilisiert.</w:t>
      </w:r>
    </w:p>
    <w:p>
      <w:pPr>
        <w:pStyle w:val="ListBullet"/>
      </w:pPr>
      <w:r>
        <w:t>Latente Steuern auf Investitionsabzug Katowicka SSE: Rechen-Logik ueberprueft; uebereinstimmend mit Konzern-IFRS-Bilanzierungsrichtlinie (IAS 12); keine Korrektur.</w:t>
      </w:r>
    </w:p>
    <w:p>
      <w:pPr>
        <w:pStyle w:val="Heading3"/>
      </w:pPr>
      <w:r>
        <w:t>Bewertung des Internen Kontrollsystems</w:t>
      </w:r>
    </w:p>
    <w:p>
      <w:r>
        <w:t>Das IKS der RPL ist insgesamt wirksam ausgestaltet. Funktionstrennungen in den Bereichen Einkauf, Wareneingang, Produktion und Finanzbuchhaltung sind durchgesetzt; automatisierte Kontrollen in SAP S/4HANA (Berechtigungskonzept, Vier-Augen-Prinzip fuer Zahlungen &gt; EUR 50.000) sind eingerichtet. Defizite (siehe Findings) sind adressiert und mit Massnahmenplan unterlegt. Eine wesentliche Schwaeche (Material Weakness) i. S. v. SOX-aequivalenten Anforderungen liegt nicht vor.</w:t>
      </w:r>
    </w:p>
    <w:p>
      <w:pPr>
        <w:pStyle w:val="Heading3"/>
      </w:pPr>
      <w:r>
        <w:t>Verrechnungspreise / Ceny transferowe</w:t>
      </w:r>
    </w:p>
    <w:p>
      <w:r>
        <w:t>Die TP-Dokumentation 2022 (Local File RPL gemaess Ustawa o cenach transferowych) wurde fristgerecht erstellt und liegt fuer das Berichtsjahr vor. Die TNMM-Routinemarge von 4,5 % auf Vollkosten ist fremdvergleichskonform; Benchmark-Studie durch Deloitte Polska 2022 (Gueltigkeit 3 Jahre). Konsistenz mit Konzern-TP-Richtlinie 2018 ist gegeben.</w:t>
      </w:r>
    </w:p>
    <w:p>
      <w:pPr>
        <w:pStyle w:val="Heading3"/>
      </w:pPr>
      <w:r>
        <w:t>Empfehlungen und naechste Schritte</w:t>
      </w:r>
    </w:p>
    <w:p>
      <w:r>
        <w:t>Wir empfehlen, die identifizierten Findings im Q1 2023 abzuarbeiten und die Massnahmenumsetzung im naechsten Audit zu verfolgen. Eine Re-Pruefung im Rahmen der Folgejahresabschlusspruefung ist eingeplant.</w:t>
      </w:r>
    </w:p>
    <w:p>
      <w:pPr>
        <w:pStyle w:val="Heading3"/>
      </w:pPr>
      <w:r>
        <w:t>Schlusswort</w:t>
      </w:r>
    </w:p>
    <w:p>
      <w:r>
        <w:t>Wir danken der Geschaeftsfuehrung und den Mitarbeitenden der Brennhagen Polska Sp. z o.o. fuer die konstruktive Zusammenarbeit waehrend der Pruefung.</w:t>
      </w:r>
    </w:p>
    <w:p>
      <w:r>
        <w:t>Ort, Datum: Warschau, den 15. April 2023</w:t>
      </w:r>
    </w:p>
    <w:p>
      <w:r>
        <w:t>_________________________            _________________________</w:t>
        <w:br/>
        <w:t>Adam Kowalczyk                          Karolina Wisniewska</w:t>
        <w:br/>
        <w:t>Partner / Bieg ly Rewident (PIBR Nr. 12345)                          Senior Manager Audit</w:t>
        <w:br/>
        <w:t>Deloitte Polska Sp. z o.o.                       Deloitte Polska Sp. z 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