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Brennhagen Polska Sp. z o.o.</w:t>
      </w:r>
    </w:p>
    <w:p>
      <w:r>
        <w:rPr>
          <w:sz w:val="18"/>
        </w:rPr>
        <w:t>ul. Roozdzienskiego 188, 40-203 Katowice, Polen  |  KRS 0000543210, Sad Rejonowy Katowice-Wschod</w:t>
      </w:r>
    </w:p>
    <w:p>
      <w:r>
        <w:t>────────────────────────────────────────────────────────────────────────────────</w:t>
      </w:r>
    </w:p>
    <w:p>
      <w:pPr>
        <w:pStyle w:val="Heading2"/>
      </w:pPr>
      <w:r>
        <w:t>Management Letter Abschlusspruefung 2023 – Brennhagen Polska Sp. z o.o.</w:t>
      </w:r>
    </w:p>
    <w:p>
      <w:pPr>
        <w:jc w:val="center"/>
      </w:pPr>
      <w:r>
        <w:t>Pruefer: Deloitte Polska Sp. z o.o. (lokal) / KPMG AG WPG (Konzern)</w:t>
      </w:r>
    </w:p>
    <w:p/>
    <w:p>
      <w:pPr>
        <w:pStyle w:val="Heading3"/>
      </w:pPr>
      <w:r>
        <w:t>Adressaten</w:t>
      </w:r>
    </w:p>
    <w:p>
      <w:r>
        <w:t>An die Geschaeftsfuehrung der Brennhagen Polska Sp. z o.o. (Marek Wojciechowski, Magdalena Lewandowska) sowie nachrichtlich an die Konzern-WP KPMG AG WPG (Lead Partner Konzern: Dr. Maximilian Brand) und an den Group Tax Director der Brennhagen Elektronik AG (Dr. Heike Berger).</w:t>
      </w:r>
    </w:p>
    <w:p>
      <w:pPr>
        <w:pStyle w:val="Heading3"/>
      </w:pPr>
      <w:r>
        <w:t>Praeambel</w:t>
      </w:r>
    </w:p>
    <w:p>
      <w:r>
        <w:t>Im Rahmen unserer Abschlusspruefung des Jahresabschlusses 2023 der Brennhagen Polska Sp. z o.o. nach polnischem Bilanzrecht (Ustawa o rachunkowosci) sowie der Pruefung des Reporting-Packages nach IFRS fuer Zwecke des Konzernabschlusses der Brennhagen Elektronik AG haben wir gemaess Pruefungsstandard KSB 265 (analog ISA 265) den Aufsichtsorganen wesentliche Feststellungen zum Internen Kontrollsystem und zu Bilanzierungsfragen mitzuteilen. Dies ist Gegenstand des vorliegenden Management Letters.</w:t>
      </w:r>
    </w:p>
    <w:p>
      <w:pPr>
        <w:pStyle w:val="Heading3"/>
      </w:pPr>
      <w:r>
        <w:t>Wesentliche Feststellungen / Kluczowe ustalenia</w:t>
      </w:r>
    </w:p>
    <w:p>
      <w:pPr>
        <w:pStyle w:val="ListBullet"/>
      </w:pPr>
      <w:r>
        <w:t>Vorraete Wareneingang: Re-Klassifizierung von PLN 8,4 Mio. RM-Komponenten (NXP-Chips) auf 'in Transit' empfohlen (Reisezeit FedEx-Air &gt; 14 Tage); Reklassifizierung umgesetzt zum 31.12.2023.</w:t>
      </w:r>
    </w:p>
    <w:p>
      <w:pPr>
        <w:pStyle w:val="ListBullet"/>
      </w:pPr>
      <w:r>
        <w:t>Forderungen aus Lieferungen ICP-3 / BMW: Wertberichtigung 'Expected Credit Losses' (IFRS 9 Stage 1) ueberprueft; Methode angepasst auf kundenspezifische PD-Werte (S&amp;P Long-Term BBB+ / Aaa-Aa3 Equivalent); Effekt unwesentlich (&lt; PLN 200k).</w:t>
      </w:r>
    </w:p>
    <w:p>
      <w:pPr>
        <w:pStyle w:val="ListBullet"/>
      </w:pPr>
      <w:r>
        <w:t>Rueckstellung Personal: Urlaubsrueckstellung (zaleglosci urlopowe) zum 31.12.2023 PLN 4,2 Mio. (Vorjahr 3,8 Mio.); Aufbau erklaerbar durch Wachstum Headcount; Methode unveraendert.</w:t>
      </w:r>
    </w:p>
    <w:p>
      <w:pPr>
        <w:pStyle w:val="ListBullet"/>
      </w:pPr>
      <w:r>
        <w:t>Investitionsfoerderung Katowicka SSE: Antrag fuer Erweiterung Halle 5 (SMD-Linie 9, geplant 2025) eingereicht 09/2023; geplante steuerliche Auswirkung ab 2025 (kein Effekt 2023).</w:t>
      </w:r>
    </w:p>
    <w:p>
      <w:pPr>
        <w:pStyle w:val="ListBullet"/>
      </w:pPr>
      <w:r>
        <w:t>ESG-Reporting: Erstmalige Erfassung Scope 1+2 CO2-Daten gemaess GHG Protocol fuer Konzern-CSRD-Reporting; Datenintegritaet bestaetigt; Methodische Vorgaben Konzern eingehalten.</w:t>
      </w:r>
    </w:p>
    <w:p>
      <w:pPr>
        <w:pStyle w:val="ListBullet"/>
      </w:pPr>
      <w:r>
        <w:t>Whistleblower-Hinweis Verdacht unzulaessige Zuwendungen Lieferant (siehe Compliance Report 2023, Hinweis Nr. 3): durch Internal Audit / KPMG Forensic geprueft; Verdacht nicht erhaertet; sachverhalt geschlossen.</w:t>
      </w:r>
    </w:p>
    <w:p>
      <w:pPr>
        <w:pStyle w:val="Heading3"/>
      </w:pPr>
      <w:r>
        <w:t>Bewertung des Internen Kontrollsystems</w:t>
      </w:r>
    </w:p>
    <w:p>
      <w:r>
        <w:t>Das IKS der RPL ist insgesamt wirksam ausgestaltet. Funktionstrennungen in den Bereichen Einkauf, Wareneingang, Produktion und Finanzbuchhaltung sind durchgesetzt; automatisierte Kontrollen in SAP S/4HANA (Berechtigungskonzept, Vier-Augen-Prinzip fuer Zahlungen &gt; EUR 50.000) sind eingerichtet. Defizite (siehe Findings) sind adressiert und mit Massnahmenplan unterlegt. Eine wesentliche Schwaeche (Material Weakness) i. S. v. SOX-aequivalenten Anforderungen liegt nicht vor.</w:t>
      </w:r>
    </w:p>
    <w:p>
      <w:pPr>
        <w:pStyle w:val="Heading3"/>
      </w:pPr>
      <w:r>
        <w:t>Verrechnungspreise / Ceny transferowe</w:t>
      </w:r>
    </w:p>
    <w:p>
      <w:r>
        <w:t>Die TP-Dokumentation 2023 (Local File RPL gemaess Ustawa o cenach transferowych) wurde fristgerecht erstellt und liegt fuer das Berichtsjahr vor. Die TNMM-Routinemarge von 4,5 % auf Vollkosten ist fremdvergleichskonform; Benchmark-Studie durch Deloitte Polska 2022 (Gueltigkeit 3 Jahre). Konsistenz mit Konzern-TP-Richtlinie 2018 ist gegeben.</w:t>
      </w:r>
    </w:p>
    <w:p>
      <w:pPr>
        <w:pStyle w:val="Heading3"/>
      </w:pPr>
      <w:r>
        <w:t>Empfehlungen und naechste Schritte</w:t>
      </w:r>
    </w:p>
    <w:p>
      <w:r>
        <w:t>Wir empfehlen, die identifizierten Findings im Q1 2024 abzuarbeiten und die Massnahmenumsetzung im naechsten Audit zu verfolgen. Eine Re-Pruefung im Rahmen der Folgejahresabschlusspruefung ist eingeplant.</w:t>
      </w:r>
    </w:p>
    <w:p>
      <w:pPr>
        <w:pStyle w:val="Heading3"/>
      </w:pPr>
      <w:r>
        <w:t>Schlusswort</w:t>
      </w:r>
    </w:p>
    <w:p>
      <w:r>
        <w:t>Wir danken der Geschaeftsfuehrung und den Mitarbeitenden der Brennhagen Polska Sp. z o.o. fuer die konstruktive Zusammenarbeit waehrend der Pruefung.</w:t>
      </w:r>
    </w:p>
    <w:p>
      <w:r>
        <w:t>Ort, Datum: Warschau, den 15. April 2024</w:t>
      </w:r>
    </w:p>
    <w:p>
      <w:r>
        <w:t>_________________________            _________________________</w:t>
        <w:br/>
        <w:t>Adam Kowalczyk                          Karolina Wisniewska</w:t>
        <w:br/>
        <w:t>Partner / Bieg ly Rewident (PIBR Nr. 12345)                          Senior Manager Audit</w:t>
        <w:br/>
        <w:t>Deloitte Polska Sp. z o.o.                       Deloitte Polska Sp. z o.o.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