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Juni 2023: Brennhagen Polska Sp. z o.o. an Brennhagen Elektronik GmbH</w:t>
      </w:r>
    </w:p>
    <w:p>
      <w:pPr>
        <w:jc w:val="center"/>
      </w:pPr>
      <w:r>
        <w:t>Rechnungs-Nr. RPL-REG-IC-2023-06 – Konzern-Verrechnung (TP-Richtlinie 2018)</w:t>
      </w:r>
    </w:p>
    <w:p/>
    <w:p>
      <w:pPr>
        <w:pStyle w:val="Heading3"/>
      </w:pPr>
      <w:r>
        <w:t>Lieferanten- und Empfaengerangaben</w:t>
      </w:r>
    </w:p>
    <w:p>
      <w:r>
        <w:t>Lieferantin (Wystawca): Brennhagen Polska Sp. z o.o., ul. Roozdzienskiego 188, 40-203 Katowice, Polen, KRS KRS 0000543210, Sad Rejonowy Katowice-Wschod, NIP PL 634-287-91-04, REGON 367281904. Vertretungsberechtigt: Marek Wojciechowski.</w:t>
      </w:r>
    </w:p>
    <w:p>
      <w:r>
        <w:t>Empfaengerin (Odbiorca): Brennhagen Elektronik GmbH (REG), Gottlieb-Daimler-Strasse 24, 74172 Neckarsulm-Heilbronn, HRB 221456 Amtsgericht Heilbronn, USt-IdNr. DE 287 645 109. Ansprechpartner: Werkleiter Andreas Maier, Q-Leitung Sabine Brand.</w:t>
      </w:r>
    </w:p>
    <w:p>
      <w:pPr>
        <w:pStyle w:val="Heading3"/>
      </w:pPr>
      <w:r>
        <w:t>Rechnungsdaten / Dane faktury</w:t>
      </w:r>
    </w:p>
    <w:p>
      <w:r>
        <w:t>Rechnungsnummer: RPL-REG-IC-2023-06</w:t>
        <w:br/>
        <w:t>Rechnungsdatum: 30, Juni 2023</w:t>
        <w:br/>
        <w:t>Leistungsmonat: Juni 2023</w:t>
        <w:br/>
        <w:t>Waehrung: EUR (Konzernkonvention IC. Rahmenvertrag IC-2018)</w:t>
        <w:br/>
        <w:t>Faelligkeit: 60 Tage netto</w:t>
        <w:br/>
        <w:t>Bestellbezug: REG-PO-MOY-2023-06</w:t>
        <w:br/>
        <w:t>Verrechnungsbasis: TP-Richtlinie 2018. TNMM Cost-Plus 4.5 %</w:t>
        <w:br/>
        <w:t>Gesamtbetrag (netto): EUR 1.768.400,00</w:t>
      </w:r>
    </w:p>
    <w:p>
      <w:pPr>
        <w:pStyle w:val="Heading3"/>
      </w:pPr>
      <w:r>
        <w:t>Leistungsuebersicht / Wykaz dostaw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Produktfamilie</w:t>
            </w:r>
          </w:p>
        </w:tc>
        <w:tc>
          <w:tcPr>
            <w:tcW w:type="dxa" w:w="2160"/>
          </w:tcPr>
          <w:p>
            <w:r>
              <w:t>Menge (Stk.)</w:t>
            </w:r>
          </w:p>
        </w:tc>
        <w:tc>
          <w:tcPr>
            <w:tcW w:type="dxa" w:w="2160"/>
          </w:tcPr>
          <w:p>
            <w:r>
              <w:t>Netto (EUR)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ICP-3 Sub-Assemblies (BMW i7-Plattform)</w:t>
            </w:r>
          </w:p>
        </w:tc>
        <w:tc>
          <w:tcPr>
            <w:tcW w:type="dxa" w:w="2160"/>
          </w:tcPr>
          <w:p>
            <w:r>
              <w:t>21.400</w:t>
            </w:r>
          </w:p>
        </w:tc>
        <w:tc>
          <w:tcPr>
            <w:tcW w:type="dxa" w:w="2160"/>
          </w:tcPr>
          <w:p>
            <w:r>
              <w:t>671.992,00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ECU-900 PCBAs bestueckt</w:t>
            </w:r>
          </w:p>
        </w:tc>
        <w:tc>
          <w:tcPr>
            <w:tcW w:type="dxa" w:w="2160"/>
          </w:tcPr>
          <w:p>
            <w:r>
              <w:t>14.800</w:t>
            </w:r>
          </w:p>
        </w:tc>
        <w:tc>
          <w:tcPr>
            <w:tcW w:type="dxa" w:w="2160"/>
          </w:tcPr>
          <w:p>
            <w:r>
              <w:t>548.204,00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ADAS-V4D Front-End / Side-Radar Module</w:t>
            </w:r>
          </w:p>
        </w:tc>
        <w:tc>
          <w:tcPr>
            <w:tcW w:type="dxa" w:w="2160"/>
          </w:tcPr>
          <w:p>
            <w:r>
              <w:t>5.600</w:t>
            </w:r>
          </w:p>
        </w:tc>
        <w:tc>
          <w:tcPr>
            <w:tcW w:type="dxa" w:w="2160"/>
          </w:tcPr>
          <w:p>
            <w:r>
              <w:t>371.364,00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Sonstige (LightCtrl-7, Pruefumlage)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176.840,00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1.768.400,00</w:t>
            </w:r>
          </w:p>
        </w:tc>
      </w:tr>
    </w:tbl>
    <w:p>
      <w:pPr>
        <w:pStyle w:val="Heading3"/>
      </w:pPr>
      <w:r>
        <w:t>Umsatzsteuer / VAT-Behandlung</w:t>
      </w:r>
    </w:p>
    <w:p>
      <w:r>
        <w:t>Innergemeinschaftliche Lieferung gemaess Art. 138 MwStSystRL i. V. m. § 6a polnisches MwSt-Gesetz (Ustawa o VAT). Steuerbefreit. Reverse-Charge auf Seiten REG. USt-IdNr. Lieferant PL 634-287-91-04, USt-IdNr. Empfaenger DE 287 645 109. Versandnachweis: CMR-RPL-REG-IC-2023-06-CMR (Transport Spedycja Slaska Sp. z o.o.). INTRASTAT-Meldung erfolgt monatlich an GUS Polen / DESTATIS Deutschland.</w:t>
      </w:r>
    </w:p>
    <w:p>
      <w:pPr>
        <w:pStyle w:val="Heading3"/>
      </w:pPr>
      <w:r>
        <w:t>Hinweise / Status</w:t>
      </w:r>
    </w:p>
    <w:p>
      <w:r>
        <w:t>Status: final. Buchung in SAP S/4HANA Buchungskreis PL10 (RPL) / DE20 (REG). Spiegelbuchung in Konzernkonsolidierung (SAP Group Reporting) wird ueber das IC-Matching-Verfahren automatisch abgeglichen; Abstimmungsdifferenz &lt;= 0,2 % wird als zulaessig im Konzernabschluss IFRS akzeptiert.</w:t>
      </w:r>
    </w:p>
    <w:p>
      <w:r>
        <w:t>Genehmigt durch Werkleitung RPL (M. Wojciechowski) und Finanzcontrolling RPL (M. Lewandowska).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