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PRJ-2024-003 SAP S/4HANA Rollout – September 2024</w:t>
      </w:r>
    </w:p>
    <w:p>
      <w:pPr>
        <w:jc w:val="center"/>
      </w:pPr>
      <w:r>
        <w:t>Wave 2: Werk Katowice (RPL) + Werk Brno (RCZ) | Go-Live 1.1.2025</w:t>
      </w:r>
    </w:p>
    <w:p/>
    <w:p>
      <w:pPr>
        <w:pStyle w:val="Heading3"/>
      </w:pPr>
      <w:r>
        <w:t>Projektrahmen</w:t>
      </w:r>
    </w:p>
    <w:p>
      <w:r>
        <w:t>Projekt: PRJ-2024-003 SAP S/4HANA Rollout Polen / CZ (Wave 2)</w:t>
        <w:br/>
        <w:t>Berichtsmonat: September 2024</w:t>
        <w:br/>
        <w:t>Projektleitung: Mag. Marek Wojciechowski (RPL) + Petr Novak (RCZ) Co-Lead CZ</w:t>
        <w:br/>
        <w:t>Sponsor: Laura Bauer, CFO REA + Florian Maier, Group Controller</w:t>
        <w:br/>
        <w:t>Integrationspartner: Capgemini Polska Sp. z o.o. (RPL Lead), Capgemini CZ a.s. (RCZ-Stream)</w:t>
        <w:br/>
        <w:t>Budget Gesamt: 8,4 Mio. EUR (RPL 4,8 + RCZ 3,6); Ist September 2024: ca. 62 % verbraucht</w:t>
      </w:r>
    </w:p>
    <w:p>
      <w:pPr>
        <w:pStyle w:val="Heading3"/>
      </w:pPr>
      <w:r>
        <w:t>Statusampel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Workstream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Termin</w:t>
            </w:r>
          </w:p>
        </w:tc>
        <w:tc>
          <w:tcPr>
            <w:tcW w:type="dxa" w:w="2160"/>
          </w:tcPr>
          <w:p>
            <w:r>
              <w:t>Kommentar</w:t>
            </w:r>
          </w:p>
        </w:tc>
      </w:tr>
      <w:tr>
        <w:tc>
          <w:tcPr>
            <w:tcW w:type="dxa" w:w="2160"/>
          </w:tcPr>
          <w:p>
            <w:r>
              <w:t>Master Data Migration</w:t>
            </w:r>
          </w:p>
        </w:tc>
        <w:tc>
          <w:tcPr>
            <w:tcW w:type="dxa" w:w="2160"/>
          </w:tcPr>
          <w:p>
            <w:r>
              <w:t>GELB</w:t>
            </w:r>
          </w:p>
        </w:tc>
        <w:tc>
          <w:tcPr>
            <w:tcW w:type="dxa" w:w="2160"/>
          </w:tcPr>
          <w:p>
            <w:r>
              <w:t>Q4/2024</w:t>
            </w:r>
          </w:p>
        </w:tc>
        <w:tc>
          <w:tcPr>
            <w:tcW w:type="dxa" w:w="2160"/>
          </w:tcPr>
          <w:p>
            <w:r>
              <w:t>Material-Stammdaten RCZ + RPL Harmonisierung in Verzug</w:t>
            </w:r>
          </w:p>
        </w:tc>
      </w:tr>
      <w:tr>
        <w:tc>
          <w:tcPr>
            <w:tcW w:type="dxa" w:w="2160"/>
          </w:tcPr>
          <w:p>
            <w:r>
              <w:t>Finance (FI/CO)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  <w:tc>
          <w:tcPr>
            <w:tcW w:type="dxa" w:w="2160"/>
          </w:tcPr>
          <w:p>
            <w:r>
              <w:t>Q3/2024</w:t>
            </w:r>
          </w:p>
        </w:tc>
        <w:tc>
          <w:tcPr>
            <w:tcW w:type="dxa" w:w="2160"/>
          </w:tcPr>
          <w:p>
            <w:r>
              <w:t>Customizing FI/CO abgeschlossen, UAT laeuft</w:t>
            </w:r>
          </w:p>
        </w:tc>
      </w:tr>
      <w:tr>
        <w:tc>
          <w:tcPr>
            <w:tcW w:type="dxa" w:w="2160"/>
          </w:tcPr>
          <w:p>
            <w:r>
              <w:t>Logistics (MM/SD)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  <w:tc>
          <w:tcPr>
            <w:tcW w:type="dxa" w:w="2160"/>
          </w:tcPr>
          <w:p>
            <w:r>
              <w:t>Q4/2024</w:t>
            </w:r>
          </w:p>
        </w:tc>
        <w:tc>
          <w:tcPr>
            <w:tcW w:type="dxa" w:w="2160"/>
          </w:tcPr>
          <w:p>
            <w:r>
              <w:t>Integration EDI VW/BMW getestet</w:t>
            </w:r>
          </w:p>
        </w:tc>
      </w:tr>
      <w:tr>
        <w:tc>
          <w:tcPr>
            <w:tcW w:type="dxa" w:w="2160"/>
          </w:tcPr>
          <w:p>
            <w:r>
              <w:t>Production (PP/QM)</w:t>
            </w:r>
          </w:p>
        </w:tc>
        <w:tc>
          <w:tcPr>
            <w:tcW w:type="dxa" w:w="2160"/>
          </w:tcPr>
          <w:p>
            <w:r>
              <w:t>GELB</w:t>
            </w:r>
          </w:p>
        </w:tc>
        <w:tc>
          <w:tcPr>
            <w:tcW w:type="dxa" w:w="2160"/>
          </w:tcPr>
          <w:p>
            <w:r>
              <w:t>Q1/2025</w:t>
            </w:r>
          </w:p>
        </w:tc>
        <w:tc>
          <w:tcPr>
            <w:tcW w:type="dxa" w:w="2160"/>
          </w:tcPr>
          <w:p>
            <w:r>
              <w:t>QM-Integration LIMS noch offen, Workshop {monat+1}/{jahr}</w:t>
            </w:r>
          </w:p>
        </w:tc>
      </w:tr>
      <w:tr>
        <w:tc>
          <w:tcPr>
            <w:tcW w:type="dxa" w:w="2160"/>
          </w:tcPr>
          <w:p>
            <w:r>
              <w:t>HR (SAP SuccessFactors)</w:t>
            </w:r>
          </w:p>
        </w:tc>
        <w:tc>
          <w:tcPr>
            <w:tcW w:type="dxa" w:w="2160"/>
          </w:tcPr>
          <w:p>
            <w:r>
              <w:t>ROT</w:t>
            </w:r>
          </w:p>
        </w:tc>
        <w:tc>
          <w:tcPr>
            <w:tcW w:type="dxa" w:w="2160"/>
          </w:tcPr>
          <w:p>
            <w:r>
              <w:t>Q2/2025</w:t>
            </w:r>
          </w:p>
        </w:tc>
        <w:tc>
          <w:tcPr>
            <w:tcW w:type="dxa" w:w="2160"/>
          </w:tcPr>
          <w:p>
            <w:r>
              <w:t>Schnittstelle ADP CZ Lohn aufwendiger als geschaetzt</w:t>
            </w:r>
          </w:p>
        </w:tc>
      </w:tr>
      <w:tr>
        <w:tc>
          <w:tcPr>
            <w:tcW w:type="dxa" w:w="2160"/>
          </w:tcPr>
          <w:p>
            <w:r>
              <w:t>Cutover / Go-Live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  <w:tc>
          <w:tcPr>
            <w:tcW w:type="dxa" w:w="2160"/>
          </w:tcPr>
          <w:p>
            <w:r>
              <w:t>1.1.2025</w:t>
            </w:r>
          </w:p>
        </w:tc>
        <w:tc>
          <w:tcPr>
            <w:tcW w:type="dxa" w:w="2160"/>
          </w:tcPr>
          <w:p>
            <w:r>
              <w:t>Cutover-Plan v2 erstellt</w:t>
            </w:r>
          </w:p>
        </w:tc>
      </w:tr>
    </w:tbl>
    <w:p>
      <w:pPr>
        <w:pStyle w:val="Heading3"/>
      </w:pPr>
      <w:r>
        <w:t>Erreichte Meilensteine im Berichtsmonat</w:t>
      </w:r>
    </w:p>
    <w:p>
      <w:pPr>
        <w:pStyle w:val="ListBullet"/>
      </w:pPr>
      <w:r>
        <w:t>Master Data Cleansing RPL abgeschlossen (Stand 9.9.2024)</w:t>
      </w:r>
    </w:p>
    <w:p>
      <w:pPr>
        <w:pStyle w:val="ListBullet"/>
      </w:pPr>
      <w:r>
        <w:t>UAT FI/CO + MM/SD final abgeschlossen (Sign-off 18.9.2024)</w:t>
      </w:r>
    </w:p>
    <w:p>
      <w:pPr>
        <w:pStyle w:val="ListBullet"/>
      </w:pPr>
      <w:r>
        <w:t>QM-LIMS Schnittstelle live im Test-Mandanten</w:t>
      </w:r>
    </w:p>
    <w:p>
      <w:pPr>
        <w:pStyle w:val="ListBullet"/>
      </w:pPr>
      <w:r>
        <w:t>Dry Run 1 Cutover am 14.-16.9.2024 mit minor Findings (12 Defects, davon 0 Kritisch)</w:t>
      </w:r>
    </w:p>
    <w:p>
      <w:pPr>
        <w:pStyle w:val="ListBullet"/>
      </w:pPr>
      <w:r>
        <w:t>Trainingsphase 1 (Endnutzer 180/240) absolviert</w:t>
      </w:r>
    </w:p>
    <w:p>
      <w:pPr>
        <w:pStyle w:val="Heading3"/>
      </w:pPr>
      <w:r>
        <w:t>Top-Risiken</w:t>
      </w:r>
    </w:p>
    <w:p>
      <w:pPr>
        <w:pStyle w:val="ListBullet"/>
      </w:pPr>
      <w:r>
        <w:t>HR-Workstream nun GELB (verbessert), aber Cutover faellt mit ADP-Lohnabrechnung Januar zusammen – Fallback-Plan Parallel-Lauf vorbereitet</w:t>
      </w:r>
    </w:p>
    <w:p>
      <w:pPr>
        <w:pStyle w:val="ListBullet"/>
      </w:pPr>
      <w:r>
        <w:t>Cutover-Wochenende 28.12.2024-1.1.2025 betrifft tschechische und polnische Feiertage – Risiko Verfuegbarkeit Capgemini-Berater</w:t>
      </w:r>
    </w:p>
    <w:p>
      <w:pPr>
        <w:pStyle w:val="ListBullet"/>
      </w:pPr>
      <w:r>
        <w:t>VAB/EDI-Anbindung Stellantis verzoegert (CSR-Spezifikation 2024-Q3 vom OEM)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Dry Run 2 Cutover am 26.-28.10.2024</w:t>
      </w:r>
    </w:p>
    <w:p>
      <w:pPr>
        <w:pStyle w:val="ListBullet"/>
      </w:pPr>
      <w:r>
        <w:t>Defect-Beseitigung Dry Run 1 bis 15.10.2024</w:t>
      </w:r>
    </w:p>
    <w:p>
      <w:pPr>
        <w:pStyle w:val="ListBullet"/>
      </w:pPr>
      <w:r>
        <w:t>Trainingsphase 2 (60 verbleibende Endnutzer) im November</w:t>
      </w:r>
    </w:p>
    <w:p>
      <w:pPr>
        <w:pStyle w:val="ListBullet"/>
      </w:pPr>
      <w:r>
        <w:t>Go-/No-Go Entscheidung im Steering Committee 12.12.2024</w:t>
      </w:r>
    </w:p>
    <w:p>
      <w:pPr>
        <w:pStyle w:val="ListBullet"/>
      </w:pPr>
      <w:r>
        <w:t>Hypercare-Plan ab 1.1.2025 fuer 8 Wochen vorbereitet</w:t>
      </w:r>
    </w:p>
    <w:p>
      <w:pPr>
        <w:pStyle w:val="Heading3"/>
      </w:pPr>
      <w:r>
        <w:t>Kosten / Forecast</w:t>
      </w:r>
    </w:p>
    <w:p>
      <w:r>
        <w:t>Budget Total 8,4 Mio. EUR | YTD Ist (per September): 5,2 Mio. EUR | Forecast YE: 8,1 Mio. EUR | Abweichung: -0,3 Mio. EUR Underrun (Verzoegerung HR-Workstream wirkt liquiditaetsentlastend). External Spend Capgemini: 3,8 Mio. EUR YTD. Hardware (HPE Server-Hosting AWS Frankfurt): 0,6 Mio. EUR YTD.</w:t>
      </w:r>
    </w:p>
    <w:p>
      <w:pPr>
        <w:pStyle w:val="Heading3"/>
      </w:pPr>
      <w:r>
        <w:t>Lessons Learned (laufend)</w:t>
      </w:r>
    </w:p>
    <w:p>
      <w:r>
        <w:t>Wave 1 (Werk Heilbronn 2023) hat gezeigt, dass Master Data Cleansing vorgezogen werden muss; dies wurde fuer Wave 2 RPL/RCZ beruecksichtigt. Wave-2-spezifisch lessons: (1) Mehrsprachigkeit Trainingsunterlagen (PL, CZ, EN) frueher anstossen, (2) lokale Steuerprozesse (PL JPK_VAT, CZ Kontrolni hlaseni) benoetigen lokale Tax-Consultants ab Phase Design, (3) ADP-Schnittstellen sind landesspezifisch nicht standardisiert.</w:t>
      </w:r>
    </w:p>
    <w:p>
      <w:pPr>
        <w:pStyle w:val="Heading3"/>
      </w:pPr>
      <w:r>
        <w:t>Schlussvermerk</w:t>
      </w:r>
    </w:p>
    <w:p>
      <w:r>
        <w:t>Brno, 25. September 2024</w:t>
      </w:r>
    </w:p>
    <w:p>
      <w:r>
        <w:t>Petr Novak, Co-Projektleiter RCZ</w:t>
        <w:br/>
        <w:t>Marek Wojciechowski, Projektleiter RPL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