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Patentamtliches Jahresgebuehrenschreiben – Patent EP3245187 (Steckverbinder-Crimp)</w:t>
      </w:r>
    </w:p>
    <w:p>
      <w:pPr>
        <w:jc w:val="center"/>
      </w:pPr>
      <w:r>
        <w:t>Europaeisches Patentamt – Jahresgebuehr 2022 (6. Jahr)</w:t>
      </w:r>
    </w:p>
    <w:p/>
    <w:p>
      <w:pPr>
        <w:pStyle w:val="Heading3"/>
      </w:pPr>
      <w:r>
        <w:t>Adressat</w:t>
      </w:r>
    </w:p>
    <w:p>
      <w:r>
        <w:t>Brennhagen Elektronik AG</w:t>
        <w:br/>
        <w:t>Vaihinger Straße 120, 70567 Stuttgart</w:t>
        <w:br/>
        <w:t>HRB 726451, Amtsgericht Stuttgart</w:t>
      </w:r>
    </w:p>
    <w:p>
      <w:r>
        <w:t>Zustellung an die Patentabteilung, z. Hd. Dr.-Ing. Annette Krueger, Leiterin IP-Management Brennhagen Elektronik AG</w:t>
      </w:r>
    </w:p>
    <w:p>
      <w:pPr>
        <w:pStyle w:val="Heading3"/>
      </w:pPr>
      <w:r>
        <w:t>Aussteller</w:t>
      </w:r>
    </w:p>
    <w:p>
      <w:r>
        <w:t>Europaeisches Patentamt (EPA)</w:t>
        <w:br/>
        <w:t>Bob-van-Benthem-Platz 1, 80469 Muenchen</w:t>
        <w:br/>
        <w:t>Bearbeiter: Herr M. Kuipers, Direktion 1.6.1 Gebuehren</w:t>
        <w:br/>
        <w:t>Aktenzeichen: EP 17/3245187.8 – Brennhagen Elektronik AG</w:t>
      </w:r>
    </w:p>
    <w:p>
      <w:pPr>
        <w:pStyle w:val="Heading3"/>
      </w:pPr>
      <w:r>
        <w:t>Sachverhalt</w:t>
      </w:r>
    </w:p>
    <w:p>
      <w:r>
        <w:t>Mit diesem Schreiben wird die Faelligkeit der Jahresgebuehr fuer das 6. Patentjahr des europaeischen Patents EP3245187 (»Verfahren und Vorrichtung zum Crimpen von Steckverbinder-Kontakten mit reduzierter Crimphoehen-Streuung«) mitgeteilt. Patentinhaberin: Brennhagen Elektronik AG. Erfinder: Dipl.-Ing. Petr Novak (Werk Brno – RCZ), Dr.-Ing. Andreas Maier (Werk Heilbronn – REG), Dipl.-Ing. Marek Wojciechowski (RPL Katowice). Anmeldedatum: 14.5.2017, Erteilungsdatum: 22.11.2019.</w:t>
      </w:r>
    </w:p>
    <w:p>
      <w:pPr>
        <w:pStyle w:val="Heading3"/>
      </w:pPr>
      <w:r>
        <w:t>Gebuehrenfestsetzung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Betrag EUR</w:t>
            </w:r>
          </w:p>
        </w:tc>
        <w:tc>
          <w:tcPr>
            <w:tcW w:type="dxa" w:w="2880"/>
          </w:tcPr>
          <w:p>
            <w:r>
              <w:t>Faelligkeit</w:t>
            </w:r>
          </w:p>
        </w:tc>
      </w:tr>
      <w:tr>
        <w:tc>
          <w:tcPr>
            <w:tcW w:type="dxa" w:w="2880"/>
          </w:tcPr>
          <w:p>
            <w:r>
              <w:t>Jahresgebuehr 6. Jahr (Art. 86 EPUe i.V.m. Regel 51 AOEPA)</w:t>
            </w:r>
          </w:p>
        </w:tc>
        <w:tc>
          <w:tcPr>
            <w:tcW w:type="dxa" w:w="2880"/>
          </w:tcPr>
          <w:p>
            <w:r>
              <w:t>910,00</w:t>
            </w:r>
          </w:p>
        </w:tc>
        <w:tc>
          <w:tcPr>
            <w:tcW w:type="dxa" w:w="2880"/>
          </w:tcPr>
          <w:p>
            <w:r>
              <w:t>31. Mai 2022 (letzter Tag des Anmeldemonats)</w:t>
            </w:r>
          </w:p>
        </w:tc>
      </w:tr>
      <w:tr>
        <w:tc>
          <w:tcPr>
            <w:tcW w:type="dxa" w:w="2880"/>
          </w:tcPr>
          <w:p>
            <w:r>
              <w:t>Zuschlag bei verspaeteter Zahlung (Regel 51 (2))</w:t>
            </w:r>
          </w:p>
        </w:tc>
        <w:tc>
          <w:tcPr>
            <w:tcW w:type="dxa" w:w="2880"/>
          </w:tcPr>
          <w:p>
            <w:r>
              <w:t>182,00</w:t>
            </w:r>
          </w:p>
        </w:tc>
        <w:tc>
          <w:tcPr>
            <w:tcW w:type="dxa" w:w="2880"/>
          </w:tcPr>
          <w:p>
            <w:r>
              <w:t>innerhalb 6 Monaten nach Faelligkeit</w:t>
            </w:r>
          </w:p>
        </w:tc>
      </w:tr>
      <w:tr>
        <w:tc>
          <w:tcPr>
            <w:tcW w:type="dxa" w:w="2880"/>
          </w:tcPr>
          <w:p>
            <w:r>
              <w:t>Validierungsgebuehren benannte Staaten (DE, FR, GB, IT, ES, CZ, PL, HU)</w:t>
            </w:r>
          </w:p>
        </w:tc>
        <w:tc>
          <w:tcPr>
            <w:tcW w:type="dxa" w:w="2880"/>
          </w:tcPr>
          <w:p>
            <w:r>
              <w:t>0 (national bereits geleistet)</w:t>
            </w:r>
          </w:p>
        </w:tc>
        <w:tc>
          <w:tcPr>
            <w:tcW w:type="dxa" w:w="2880"/>
          </w:tcPr>
          <w:p>
            <w:r>
              <w:t>n/a</w:t>
            </w:r>
          </w:p>
        </w:tc>
      </w:tr>
    </w:tbl>
    <w:p>
      <w:pPr>
        <w:pStyle w:val="Heading3"/>
      </w:pPr>
      <w:r>
        <w:t>Validierung in Tschechien</w:t>
      </w:r>
    </w:p>
    <w:p>
      <w:r>
        <w:t>Das Patent ist national in der Tschechischen Republik validiert (Patent CZ EP3245187, Urad prumysloveho vlastnictvi – UPV, Praha). Lokaler Patentanwalt: Mgr. Marek Polacek, PatentServis Praha, a.s. Tschechische Jahresgebuehr 6. Jahr: 3.500 CZK, separat zahlbar an UPV bis 30. listopadu 2022.</w:t>
      </w:r>
    </w:p>
    <w:p>
      <w:pPr>
        <w:pStyle w:val="Heading3"/>
      </w:pPr>
      <w:r>
        <w:t>Zahlung</w:t>
      </w:r>
    </w:p>
    <w:p>
      <w:r>
        <w:t>Konto EPA: Deutsche Bundesbank Filiale Muenchen</w:t>
        <w:br/>
        <w:t>IBAN: DE20 7000 0000 0070 0540 60 | BIC: MARKDEFF700</w:t>
        <w:br/>
        <w:t>Verwendungszweck: EP3245187 / 6. Jahr / Brennhagen AG</w:t>
      </w:r>
    </w:p>
    <w:p>
      <w:pPr>
        <w:pStyle w:val="Heading3"/>
      </w:pPr>
      <w:r>
        <w:t>Rechtsfolgen bei Nichtzahlung</w:t>
      </w:r>
    </w:p>
    <w:p>
      <w:r>
        <w:t>Bei Nichtzahlung der Jahresgebuehr binnen 6 Monaten nach Faelligkeit (auch mit Zuschlag) erlischt das Patent rueckwirkend zum Faelligkeitstag (Art. 86 (2) EPUe). Wiedereinsetzung in den vorigen Stand nach Art. 122 EPUe ist nur unter strengen Voraussetzungen moeglich.</w:t>
      </w:r>
    </w:p>
    <w:p>
      <w:pPr>
        <w:pStyle w:val="Heading3"/>
      </w:pPr>
      <w:r>
        <w:t>Interne Bearbeitung Brennhagen</w:t>
      </w:r>
    </w:p>
    <w:p>
      <w:r>
        <w:t>Eingegangen am 4.4.2022, weitergeleitet an Treasury (Markus Pflanzer) zur Bezahlung. Zahlung erfolgte am 25.4.2022. Tschechische Folgegebuehr koordiniert mit RCZ Brno (Martina Svobodova). Patent-Portfolio-Status: aktiv, kommerzielle Verwertung in Steckverbinder-Linien aller Konzernwerke (RCZ Brno Hauptstandort, REG Heilbronn, RPL Katowice).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