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CZ s.r.o.</w:t>
      </w:r>
    </w:p>
    <w:p>
      <w:r>
        <w:rPr>
          <w:sz w:val="18"/>
        </w:rPr>
        <w:t>Tuzemska 47, 627 00 Brno-Slatina, Ceska republika  |  ICO 28765432, DIC CZ28765432  |  C 87654, KS Brno (Krajsky soud v Brne)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Compliance-Report Brennhagen CZ s.r.o. – Geschaeftsjahr 2023 (Version 2)</w:t>
      </w:r>
    </w:p>
    <w:p>
      <w:pPr>
        <w:jc w:val="center"/>
      </w:pPr>
      <w:r>
        <w:t>Berichterstatter: Local Compliance Officer Brno | Stand: 28. Februar 2024</w:t>
      </w:r>
    </w:p>
    <w:p/>
    <w:p>
      <w:pPr>
        <w:pStyle w:val="Heading3"/>
      </w:pPr>
      <w:r>
        <w:t>Einleitung</w:t>
      </w:r>
    </w:p>
    <w:p>
      <w:r>
        <w:t>Dieser Compliance-Report fasst die Compliance-Aktivitaeten der Brennhagen CZ s.r.o. im Geschaeftsjahr 2023 zusammen und dient als jaehrliche Berichterstattung an den Group Chief Compliance Officer der Brennhagen Elektronik AG (REA) sowie an den Konzern-Pruefungsausschuss (Vorsitz Prof. Dr.-Ing. Gerhard Voss). Version 2 enthaelt redaktionelle Korrekturen und Ergaenzungen zur Lohnsteuer-Compliance, nachdem die Erstversion vom 31.1.2024 unvollstaendig war.</w:t>
      </w:r>
    </w:p>
    <w:p>
      <w:pPr>
        <w:pStyle w:val="Heading3"/>
      </w:pPr>
      <w:r>
        <w:t>Compliance-Organisation</w:t>
      </w:r>
    </w:p>
    <w:p>
      <w:r>
        <w:t>Local Compliance Officer: Marcela Benesova (40 %), reports dotted line an Chief Compliance Officer Brennhagen AG (REA Stuttgart). Compliance-Komitee Brno tagt quartalsweise (Teilnehmer: Petr Novak, Eva Cerna, Martina Svobodova, Lenka Prochazkova, Benesova). Compliance-Hotline ueber Convercent / OneTrust (anonyme Whistleblower-Plattform, betrieben durch Group). 2023 wurden 4 Hinweise eingereicht, davon 2 unbegruendet, 1 disziplinarisch geahndet (Verstoss gegen Reisekosten-Richtlinie), 1 noch in Bearbeitung (Vorwurf Lieferantenpraeferenz, Untersuchung durch externe Kanzlei Havel &amp; Partners s.r.o., advokatni kancelar, Na Florenci 2116/15, 110 00 Praha 1).</w:t>
      </w:r>
    </w:p>
    <w:p>
      <w:pPr>
        <w:pStyle w:val="Heading3"/>
      </w:pPr>
      <w:r>
        <w:t>Wesentliche Compliance-Felder</w:t>
      </w:r>
    </w:p>
    <w:p>
      <w:pPr>
        <w:pStyle w:val="ListBullet"/>
      </w:pPr>
      <w:r>
        <w:t>Korruptionspraevention (Zakon c. 418/2011 Sb., trestni odpovednost pravnickych osob – Strafverantwortlichkeit juristischer Personen): 100 % Schulungsquote Indirect Personnel (Kontrolle via Cornerstone).</w:t>
      </w:r>
    </w:p>
    <w:p>
      <w:pPr>
        <w:pStyle w:val="ListBullet"/>
      </w:pPr>
      <w:r>
        <w:t>Kartellrecht (Zakon c. 143/2001 Sb., o ochrane hospodarske souteze): keine Vorfaelle; jaehrliche Schulung Sales und Einkauf erfolgt.</w:t>
      </w:r>
    </w:p>
    <w:p>
      <w:pPr>
        <w:pStyle w:val="ListBullet"/>
      </w:pPr>
      <w:r>
        <w:t>Exportkontrolle / Dual-Use: keine ECCN-Klassifizierungen ueber 3A001 betroffen, keine BAFA-Lizenzen erforderlich.</w:t>
      </w:r>
    </w:p>
    <w:p>
      <w:pPr>
        <w:pStyle w:val="ListBullet"/>
      </w:pPr>
      <w:r>
        <w:t>Datenschutz (GDPR / OOU – Urad pro ochranu osobnich udaju): Verzeichnis der Verarbeitungstaetigkeiten aktualisiert; 1 Datenpanne (falsch adressierte E-Mail) gemeldet, keine Sanktion.</w:t>
      </w:r>
    </w:p>
    <w:p>
      <w:pPr>
        <w:pStyle w:val="ListBullet"/>
      </w:pPr>
      <w:r>
        <w:t>Geldwaeschepraevention (AML, Zakon c. 253/2008 Sb.): nicht primaer betroffen (kein Finanzinstitut), Standard-KYC bei Neukunden via SAP.</w:t>
      </w:r>
    </w:p>
    <w:p>
      <w:pPr>
        <w:pStyle w:val="ListBullet"/>
      </w:pPr>
      <w:r>
        <w:t>Arbeitsschutz / BOZP (Zakon c. 309/2006 Sb.): 8 Arbeitsunfaelle (Vj. 12), LTIFR 4,2 (Branche 6,8); keine schweren Unfaelle.</w:t>
      </w:r>
    </w:p>
    <w:p>
      <w:pPr>
        <w:pStyle w:val="Heading3"/>
      </w:pPr>
      <w:r>
        <w:t>Lohnsteuer-Compliance (Ergaenzung Version 2)</w:t>
      </w:r>
    </w:p>
    <w:p>
      <w:r>
        <w:t>Die monatlichen Lohnsteuer-Meldungen (Mesicni vyuctovani zalohy na dan ze zavisle cinnosti) wurden 2023 fristgerecht durch externen Lohnabrechnungs-Dienstleister ADP CZ s.r.o. eingereicht. Jaehrliche Aufstellung der Einkommen (rocni vyuctovani) und Bestaetigung fuer Mitarbeiter erfolgte vor 15.3.2024. Solidaritaetszuschlag fuer Spitzeneinkommen &gt;1.935.552 CZK (Stand 2023) korrekt einbehalten. Keine Beanstandungen durch Specializovany financni urad Brno-mesto. Sozialversicherung: Anmeldungen bei OSSZ Brno-mesto vollstaendig, monatliche Beitragsmeldungen fristgerecht.</w:t>
      </w:r>
    </w:p>
    <w:p>
      <w:pPr>
        <w:pStyle w:val="Heading3"/>
      </w:pPr>
      <w:r>
        <w:t>Krankenversicherung (VZP / Zamestnanecka)</w:t>
      </w:r>
    </w:p>
    <w:p>
      <w:r>
        <w:t>Von 680 Mitarbeitern sind 482 bei VZP (Vseobecna zdravotni pojistovna CR, kod 111), 142 bei Zamestnanecka pojistovna Skoda (kod 209), 56 bei Vojenska zdravotni pojistovna (kod 201). Arbeitgeber-Anteile wurden monatlich vollstaendig abgefuehrt (insgesamt 2023 ca. 48,2 Mio. CZK).</w:t>
      </w:r>
    </w:p>
    <w:p>
      <w:pPr>
        <w:pStyle w:val="Heading3"/>
      </w:pPr>
      <w:r>
        <w:t>Audit-Plan 2024</w:t>
      </w:r>
    </w:p>
    <w:p>
      <w:r>
        <w:t>Geplante interne Audits 2024: (a) IT-Berechtigungen und Patch-Management (Q2), (b) Lieferantenfreigabe-Prozess (Q3), (c) Reisekosten / Bewirtungen (Q4). Externe Audits: KPMG-JA-Pruefung (Feb 2024), IATF-16949 Rezertifizierung (Sep 2024) durch TUEV Sued / TUEV Nord CZ.</w:t>
      </w:r>
    </w:p>
    <w:p>
      <w:pPr>
        <w:pStyle w:val="Heading3"/>
      </w:pPr>
      <w:r>
        <w:t>Schlussvermerk</w:t>
      </w:r>
    </w:p>
    <w:p>
      <w:r>
        <w:t>Brno, 28. unora 2024</w:t>
      </w:r>
    </w:p>
    <w:p>
      <w:r>
        <w:t>Marcela Benesova, Local Compliance Officer</w:t>
        <w:br/>
        <w:t>Freigabe: Petr Novak, Jednatel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