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Quartalsbericht Q2/2019 – Werk Brno (Intercompany Reporting)</w:t>
      </w:r>
    </w:p>
    <w:p>
      <w:pPr>
        <w:jc w:val="center"/>
      </w:pPr>
      <w:r>
        <w:t>Reporting an REA Group Controlling / REG Heilbronn | CZK / IFRS</w:t>
      </w:r>
    </w:p>
    <w:p/>
    <w:p>
      <w:pPr>
        <w:pStyle w:val="Heading3"/>
      </w:pPr>
      <w:r>
        <w:t>Berichtszeitraum / Vykazovaci obdobi</w:t>
      </w:r>
    </w:p>
    <w:p>
      <w:r>
        <w:t>Quartal: Q2/2019 (April - Juni 2019)</w:t>
        <w:br/>
        <w:t>Berichtsersteller: Martina Svobodova (Financni controller)</w:t>
        <w:br/>
        <w:t>Berichtsempfaenger: Florian Maier (Group Controller REA), Andreas Maier (Werkleiter REG)</w:t>
        <w:br/>
        <w:t>Berichtswaehrung: CZK (mit Umrechnungstabelle EUR)</w:t>
        <w:br/>
        <w:t>Vorlagestichtag: 20. Werktag nach Quartalsende</w:t>
        <w:br/>
        <w:t>Reporting-Standard: IFRS-Paket (gem. Konzernrichtlinie REA-IFRS-2022) + CZ-GAAP fuer lokale Statutory.</w:t>
      </w:r>
    </w:p>
    <w:p>
      <w:pPr>
        <w:pStyle w:val="Heading3"/>
      </w:pPr>
      <w:r>
        <w:t>Executive Summary</w:t>
      </w:r>
    </w:p>
    <w:p>
      <w:r>
        <w:t>Werk Brno hat in Q2/2019 einen Umsatz von 392.000 TCZK (ca. 16.000 TEUR) erzielt, davon ~88 % aus Intercompany-Lieferungen an REG Heilbronn und ~12 % aus externen Kunden (kleine OEM-Direktauftraege Skoda/Tatra sowie Aftermarket). EBIT betraegt 24.304 TCZK (EBIT-Marge 6.2 %). Operative Performance solid: OEE 83 %, Customer Complaints PPM 20 (Target &lt; 25 PPM).</w:t>
      </w:r>
    </w:p>
    <w:p>
      <w:pPr>
        <w:pStyle w:val="Heading3"/>
      </w:pPr>
      <w:r>
        <w:t>Umsatz nach Produktlinie (TCZK)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Produkt</w:t>
            </w:r>
          </w:p>
        </w:tc>
        <w:tc>
          <w:tcPr>
            <w:tcW w:type="dxa" w:w="1728"/>
          </w:tcPr>
          <w:p>
            <w:r>
              <w:t>Q-Ist</w:t>
            </w:r>
          </w:p>
        </w:tc>
        <w:tc>
          <w:tcPr>
            <w:tcW w:type="dxa" w:w="1728"/>
          </w:tcPr>
          <w:p>
            <w:r>
              <w:t>Q-Plan</w:t>
            </w:r>
          </w:p>
        </w:tc>
        <w:tc>
          <w:tcPr>
            <w:tcW w:type="dxa" w:w="1728"/>
          </w:tcPr>
          <w:p>
            <w:r>
              <w:t>Abw.</w:t>
            </w:r>
          </w:p>
        </w:tc>
        <w:tc>
          <w:tcPr>
            <w:tcW w:type="dxa" w:w="1728"/>
          </w:tcPr>
          <w:p>
            <w:r>
              <w:t>YTD-Ist</w:t>
            </w:r>
          </w:p>
        </w:tc>
      </w:tr>
      <w:tr>
        <w:tc>
          <w:tcPr>
            <w:tcW w:type="dxa" w:w="1728"/>
          </w:tcPr>
          <w:p>
            <w:r>
              <w:t>Steckverbinder ECU-900</w:t>
            </w:r>
          </w:p>
        </w:tc>
        <w:tc>
          <w:tcPr>
            <w:tcW w:type="dxa" w:w="1728"/>
          </w:tcPr>
          <w:p>
            <w:r>
              <w:t>133.280</w:t>
            </w:r>
          </w:p>
        </w:tc>
        <w:tc>
          <w:tcPr>
            <w:tcW w:type="dxa" w:w="1728"/>
          </w:tcPr>
          <w:p>
            <w:r>
              <w:t>125.440</w:t>
            </w:r>
          </w:p>
        </w:tc>
        <w:tc>
          <w:tcPr>
            <w:tcW w:type="dxa" w:w="1728"/>
          </w:tcPr>
          <w:p>
            <w:r>
              <w:t>+6 %</w:t>
            </w:r>
          </w:p>
        </w:tc>
        <w:tc>
          <w:tcPr>
            <w:tcW w:type="dxa" w:w="1728"/>
          </w:tcPr>
          <w:p>
            <w:r>
              <w:t>266.560</w:t>
            </w:r>
          </w:p>
        </w:tc>
      </w:tr>
      <w:tr>
        <w:tc>
          <w:tcPr>
            <w:tcW w:type="dxa" w:w="1728"/>
          </w:tcPr>
          <w:p>
            <w:r>
              <w:t>Steckverbinder ICP-3</w:t>
            </w:r>
          </w:p>
        </w:tc>
        <w:tc>
          <w:tcPr>
            <w:tcW w:type="dxa" w:w="1728"/>
          </w:tcPr>
          <w:p>
            <w:r>
              <w:t>86.240</w:t>
            </w:r>
          </w:p>
        </w:tc>
        <w:tc>
          <w:tcPr>
            <w:tcW w:type="dxa" w:w="1728"/>
          </w:tcPr>
          <w:p>
            <w:r>
              <w:t>94.080</w:t>
            </w:r>
          </w:p>
        </w:tc>
        <w:tc>
          <w:tcPr>
            <w:tcW w:type="dxa" w:w="1728"/>
          </w:tcPr>
          <w:p>
            <w:r>
              <w:t>-8 %</w:t>
            </w:r>
          </w:p>
        </w:tc>
        <w:tc>
          <w:tcPr>
            <w:tcW w:type="dxa" w:w="1728"/>
          </w:tcPr>
          <w:p>
            <w:r>
              <w:t>172.480</w:t>
            </w:r>
          </w:p>
        </w:tc>
      </w:tr>
      <w:tr>
        <w:tc>
          <w:tcPr>
            <w:tcW w:type="dxa" w:w="1728"/>
          </w:tcPr>
          <w:p>
            <w:r>
              <w:t>Steckverbinder ADAS-V4D</w:t>
            </w:r>
          </w:p>
        </w:tc>
        <w:tc>
          <w:tcPr>
            <w:tcW w:type="dxa" w:w="1728"/>
          </w:tcPr>
          <w:p>
            <w:r>
              <w:t>62.720</w:t>
            </w:r>
          </w:p>
        </w:tc>
        <w:tc>
          <w:tcPr>
            <w:tcW w:type="dxa" w:w="1728"/>
          </w:tcPr>
          <w:p>
            <w:r>
              <w:t>58.800</w:t>
            </w:r>
          </w:p>
        </w:tc>
        <w:tc>
          <w:tcPr>
            <w:tcW w:type="dxa" w:w="1728"/>
          </w:tcPr>
          <w:p>
            <w:r>
              <w:t>+7 %</w:t>
            </w:r>
          </w:p>
        </w:tc>
        <w:tc>
          <w:tcPr>
            <w:tcW w:type="dxa" w:w="1728"/>
          </w:tcPr>
          <w:p>
            <w:r>
              <w:t>125.440</w:t>
            </w:r>
          </w:p>
        </w:tc>
      </w:tr>
      <w:tr>
        <w:tc>
          <w:tcPr>
            <w:tcW w:type="dxa" w:w="1728"/>
          </w:tcPr>
          <w:p>
            <w:r>
              <w:t>HV-Stecker BMS-12</w:t>
            </w:r>
          </w:p>
        </w:tc>
        <w:tc>
          <w:tcPr>
            <w:tcW w:type="dxa" w:w="1728"/>
          </w:tcPr>
          <w:p>
            <w:r>
              <w:t>54.880</w:t>
            </w:r>
          </w:p>
        </w:tc>
        <w:tc>
          <w:tcPr>
            <w:tcW w:type="dxa" w:w="1728"/>
          </w:tcPr>
          <w:p>
            <w:r>
              <w:t>47.040</w:t>
            </w:r>
          </w:p>
        </w:tc>
        <w:tc>
          <w:tcPr>
            <w:tcW w:type="dxa" w:w="1728"/>
          </w:tcPr>
          <w:p>
            <w:r>
              <w:t>+17 %</w:t>
            </w:r>
          </w:p>
        </w:tc>
        <w:tc>
          <w:tcPr>
            <w:tcW w:type="dxa" w:w="1728"/>
          </w:tcPr>
          <w:p>
            <w:r>
              <w:t>109.760</w:t>
            </w:r>
          </w:p>
        </w:tc>
      </w:tr>
      <w:tr>
        <w:tc>
          <w:tcPr>
            <w:tcW w:type="dxa" w:w="1728"/>
          </w:tcPr>
          <w:p>
            <w:r>
              <w:t>LightCtrl-7 Kabelsatz</w:t>
            </w:r>
          </w:p>
        </w:tc>
        <w:tc>
          <w:tcPr>
            <w:tcW w:type="dxa" w:w="1728"/>
          </w:tcPr>
          <w:p>
            <w:r>
              <w:t>31.360</w:t>
            </w:r>
          </w:p>
        </w:tc>
        <w:tc>
          <w:tcPr>
            <w:tcW w:type="dxa" w:w="1728"/>
          </w:tcPr>
          <w:p>
            <w:r>
              <w:t>35.280</w:t>
            </w:r>
          </w:p>
        </w:tc>
        <w:tc>
          <w:tcPr>
            <w:tcW w:type="dxa" w:w="1728"/>
          </w:tcPr>
          <w:p>
            <w:r>
              <w:t>-11 %</w:t>
            </w:r>
          </w:p>
        </w:tc>
        <w:tc>
          <w:tcPr>
            <w:tcW w:type="dxa" w:w="1728"/>
          </w:tcPr>
          <w:p>
            <w:r>
              <w:t>62.720</w:t>
            </w:r>
          </w:p>
        </w:tc>
      </w:tr>
      <w:tr>
        <w:tc>
          <w:tcPr>
            <w:tcW w:type="dxa" w:w="1728"/>
          </w:tcPr>
          <w:p>
            <w:r>
              <w:t>Externe / Aftermarket</w:t>
            </w:r>
          </w:p>
        </w:tc>
        <w:tc>
          <w:tcPr>
            <w:tcW w:type="dxa" w:w="1728"/>
          </w:tcPr>
          <w:p>
            <w:r>
              <w:t>23.520</w:t>
            </w:r>
          </w:p>
        </w:tc>
        <w:tc>
          <w:tcPr>
            <w:tcW w:type="dxa" w:w="1728"/>
          </w:tcPr>
          <w:p>
            <w:r>
              <w:t>31.360</w:t>
            </w:r>
          </w:p>
        </w:tc>
        <w:tc>
          <w:tcPr>
            <w:tcW w:type="dxa" w:w="1728"/>
          </w:tcPr>
          <w:p>
            <w:r>
              <w:t>-25 %</w:t>
            </w:r>
          </w:p>
        </w:tc>
        <w:tc>
          <w:tcPr>
            <w:tcW w:type="dxa" w:w="1728"/>
          </w:tcPr>
          <w:p>
            <w:r>
              <w:t>47.040</w:t>
            </w:r>
          </w:p>
        </w:tc>
      </w:tr>
    </w:tbl>
    <w:p>
      <w:pPr>
        <w:pStyle w:val="Heading3"/>
      </w:pPr>
      <w:r>
        <w:t>Ergebnis (TCZK)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Q2 Ist</w:t>
            </w:r>
          </w:p>
        </w:tc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Abw.</w:t>
            </w:r>
          </w:p>
        </w:tc>
        <w:tc>
          <w:tcPr>
            <w:tcW w:type="dxa" w:w="1728"/>
          </w:tcPr>
          <w:p>
            <w:r>
              <w:t>Kommentar</w:t>
            </w:r>
          </w:p>
        </w:tc>
      </w:tr>
      <w:tr>
        <w:tc>
          <w:tcPr>
            <w:tcW w:type="dxa" w:w="1728"/>
          </w:tcPr>
          <w:p>
            <w:r>
              <w:t>Umsatz</w:t>
            </w:r>
          </w:p>
        </w:tc>
        <w:tc>
          <w:tcPr>
            <w:tcW w:type="dxa" w:w="1728"/>
          </w:tcPr>
          <w:p>
            <w:r>
              <w:t>392.000</w:t>
            </w:r>
          </w:p>
        </w:tc>
        <w:tc>
          <w:tcPr>
            <w:tcW w:type="dxa" w:w="1728"/>
          </w:tcPr>
          <w:p>
            <w:r>
              <w:t>380.240</w:t>
            </w:r>
          </w:p>
        </w:tc>
        <w:tc>
          <w:tcPr>
            <w:tcW w:type="dxa" w:w="1728"/>
          </w:tcPr>
          <w:p>
            <w:r>
              <w:t>+3.1 %</w:t>
            </w:r>
          </w:p>
        </w:tc>
        <w:tc>
          <w:tcPr>
            <w:tcW w:type="dxa" w:w="1728"/>
          </w:tcPr>
          <w:p>
            <w:r>
              <w:t>BMS-12 Hochlauf staerker als geplant</w:t>
            </w:r>
          </w:p>
        </w:tc>
      </w:tr>
      <w:tr>
        <w:tc>
          <w:tcPr>
            <w:tcW w:type="dxa" w:w="1728"/>
          </w:tcPr>
          <w:p>
            <w:r>
              <w:t>Materialaufwand</w:t>
            </w:r>
          </w:p>
        </w:tc>
        <w:tc>
          <w:tcPr>
            <w:tcW w:type="dxa" w:w="1728"/>
          </w:tcPr>
          <w:p>
            <w:r>
              <w:t>227.359</w:t>
            </w:r>
          </w:p>
        </w:tc>
        <w:tc>
          <w:tcPr>
            <w:tcW w:type="dxa" w:w="1728"/>
          </w:tcPr>
          <w:p>
            <w:r>
              <w:t>215.600</w:t>
            </w:r>
          </w:p>
        </w:tc>
        <w:tc>
          <w:tcPr>
            <w:tcW w:type="dxa" w:w="1728"/>
          </w:tcPr>
          <w:p>
            <w:r>
              <w:t>+5 %</w:t>
            </w:r>
          </w:p>
        </w:tc>
        <w:tc>
          <w:tcPr>
            <w:tcW w:type="dxa" w:w="1728"/>
          </w:tcPr>
          <w:p>
            <w:r>
              <w:t>Kupfer- und Harz-Preise +12 %</w:t>
            </w:r>
          </w:p>
        </w:tc>
      </w:tr>
      <w:tr>
        <w:tc>
          <w:tcPr>
            <w:tcW w:type="dxa" w:w="1728"/>
          </w:tcPr>
          <w:p>
            <w:r>
              <w:t>Personalaufwand</w:t>
            </w:r>
          </w:p>
        </w:tc>
        <w:tc>
          <w:tcPr>
            <w:tcW w:type="dxa" w:w="1728"/>
          </w:tcPr>
          <w:p>
            <w:r>
              <w:t>70.560</w:t>
            </w:r>
          </w:p>
        </w:tc>
        <w:tc>
          <w:tcPr>
            <w:tcW w:type="dxa" w:w="1728"/>
          </w:tcPr>
          <w:p>
            <w:r>
              <w:t>70.560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lt. Tarif OZ KOVO 2023 +6,5 %</w:t>
            </w:r>
          </w:p>
        </w:tc>
      </w:tr>
      <w:tr>
        <w:tc>
          <w:tcPr>
            <w:tcW w:type="dxa" w:w="1728"/>
          </w:tcPr>
          <w:p>
            <w:r>
              <w:t>Abschreibungen</w:t>
            </w:r>
          </w:p>
        </w:tc>
        <w:tc>
          <w:tcPr>
            <w:tcW w:type="dxa" w:w="1728"/>
          </w:tcPr>
          <w:p>
            <w:r>
              <w:t>23.520</w:t>
            </w:r>
          </w:p>
        </w:tc>
        <w:tc>
          <w:tcPr>
            <w:tcW w:type="dxa" w:w="1728"/>
          </w:tcPr>
          <w:p>
            <w:r>
              <w:t>23.520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planmaessig</w:t>
            </w:r>
          </w:p>
        </w:tc>
      </w:tr>
      <w:tr>
        <w:tc>
          <w:tcPr>
            <w:tcW w:type="dxa" w:w="1728"/>
          </w:tcPr>
          <w:p>
            <w:r>
              <w:t>Sonstige Aufw.</w:t>
            </w:r>
          </w:p>
        </w:tc>
        <w:tc>
          <w:tcPr>
            <w:tcW w:type="dxa" w:w="1728"/>
          </w:tcPr>
          <w:p>
            <w:r>
              <w:t>39.200</w:t>
            </w:r>
          </w:p>
        </w:tc>
        <w:tc>
          <w:tcPr>
            <w:tcW w:type="dxa" w:w="1728"/>
          </w:tcPr>
          <w:p>
            <w:r>
              <w:t>39.200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Energie, Wartung, IT</w:t>
            </w:r>
          </w:p>
        </w:tc>
      </w:tr>
      <w:tr>
        <w:tc>
          <w:tcPr>
            <w:tcW w:type="dxa" w:w="1728"/>
          </w:tcPr>
          <w:p>
            <w:r>
              <w:t>EBIT</w:t>
            </w:r>
          </w:p>
        </w:tc>
        <w:tc>
          <w:tcPr>
            <w:tcW w:type="dxa" w:w="1728"/>
          </w:tcPr>
          <w:p>
            <w:r>
              <w:t>24.304</w:t>
            </w:r>
          </w:p>
        </w:tc>
        <w:tc>
          <w:tcPr>
            <w:tcW w:type="dxa" w:w="1728"/>
          </w:tcPr>
          <w:p>
            <w:r>
              <w:t>25.519</w:t>
            </w:r>
          </w:p>
        </w:tc>
        <w:tc>
          <w:tcPr>
            <w:tcW w:type="dxa" w:w="1728"/>
          </w:tcPr>
          <w:p>
            <w:r>
              <w:t>-5 %</w:t>
            </w:r>
          </w:p>
        </w:tc>
        <w:tc>
          <w:tcPr>
            <w:tcW w:type="dxa" w:w="1728"/>
          </w:tcPr>
          <w:p>
            <w:r>
              <w:t>Materialdruck noch nicht ueberwaelzt</w:t>
            </w:r>
          </w:p>
        </w:tc>
      </w:tr>
    </w:tbl>
    <w:p>
      <w:pPr>
        <w:pStyle w:val="Heading3"/>
      </w:pPr>
      <w:r>
        <w:t>Quality KPI</w:t>
      </w:r>
    </w:p>
    <w:p>
      <w:r>
        <w:t>Customer Complaints PPM (extern): 20 (Target &lt;25, Vorjahr 28)</w:t>
        <w:br/>
        <w:t>Internal PPM: 80 (Target &lt;120)</w:t>
        <w:br/>
        <w:t>OEE Gesamtwerk: 83 % (Target 85 %)</w:t>
        <w:br/>
        <w:t>First Pass Yield (FPY) Linien 1-5: 96,8 % / 97,4 % / 95,2 % / 98,1 % / 97,7 %</w:t>
        <w:br/>
        <w:t>Reklamationen Q2: 8 Stueck (davon 2 mit 8D-Report eingeleitet)</w:t>
        <w:br/>
        <w:t>IATF-16949 Surveillance-Audit 2019: bestanden, 3 Minor / 0 Major.</w:t>
      </w:r>
    </w:p>
    <w:p>
      <w:pPr>
        <w:pStyle w:val="Heading3"/>
      </w:pPr>
      <w:r>
        <w:t>Personal / Headcount</w:t>
      </w:r>
    </w:p>
    <w:p>
      <w:r>
        <w:t>Stichtag Quartalsende: 680 MA (Plan 685). Davon 540 in Produktion (3-Schicht), 80 Quality/Engineering, 35 Administration, 25 Logistik. Krankenstand Q2: 4,1 % (Vorjahr 3,8 %, Branche CZ Auto 4,5 %). Fluktuation YTD: 8,2 % p. a. (CZ Auto Benchmark 12 %). Tarifverhandlungen mit OZ KOVO – Tarifabschluss +6,5 % Tabellenentgelte ab 1.4. dieses Jahres erfolgreich abgeschlossen.</w:t>
      </w:r>
    </w:p>
    <w:p>
      <w:pPr>
        <w:pStyle w:val="Heading3"/>
      </w:pPr>
      <w:r>
        <w:t>Investitionen</w:t>
      </w:r>
    </w:p>
    <w:p>
      <w:r>
        <w:t>CapEx Q2: 15.680 TCZK (geplant 19.600 TCZK). Wichtigste Projekte: Erweiterung Linie 3 Crimp-Automat (8,5 Mio. CZK), Energiemanagement ISO 50001 Vorbereitung (1,2 Mio. CZK), SAP S/4HANA Migration Vorarbeiten (0,8 Mio. CZK).</w:t>
      </w:r>
    </w:p>
    <w:p>
      <w:pPr>
        <w:pStyle w:val="Heading3"/>
      </w:pPr>
      <w:r>
        <w:t>Ausblick</w:t>
      </w:r>
    </w:p>
    <w:p>
      <w:r>
        <w:t>Q3/2019 erwartet vergleichbares Umsatzniveau, weiterhin Druck auf Materialkosten. Forecast-Update folgt mit RCZ_FC_Update_2019_Q3.</w:t>
      </w:r>
    </w:p>
    <w:p>
      <w:pPr>
        <w:pStyle w:val="Heading3"/>
      </w:pPr>
      <w:r>
        <w:t>Schlussvermerk</w:t>
      </w:r>
    </w:p>
    <w:p>
      <w:r>
        <w:t>Brno, 17. Juli 2019</w:t>
      </w:r>
    </w:p>
    <w:p>
      <w:r>
        <w:t>Martina Svobodova, Financni controller    |    Petr Novak, Jednatel (sign-off)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