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Q4/2020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Q4/2020 (Oktober - Dezember 2020)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Q4/2020 einen Umsatz von 429.000 TCZK (ca. 17.510 TEUR) erzielt, davon ~88 % aus Intercompany-Lieferungen an REG Heilbronn und ~12 % aus externen Kunden (kleine OEM-Direktauftraege Skoda/Tatra sowie Aftermarket). EBIT betraegt 26.598 TCZK (EBIT-Marge 6.2 %). Operative Performance solid: OEE 84 %, Customer Complaints PPM 18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145.860</w:t>
            </w:r>
          </w:p>
        </w:tc>
        <w:tc>
          <w:tcPr>
            <w:tcW w:type="dxa" w:w="1728"/>
          </w:tcPr>
          <w:p>
            <w:r>
              <w:t>137.280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583.440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94.380</w:t>
            </w:r>
          </w:p>
        </w:tc>
        <w:tc>
          <w:tcPr>
            <w:tcW w:type="dxa" w:w="1728"/>
          </w:tcPr>
          <w:p>
            <w:r>
              <w:t>102.960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377.520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68.640</w:t>
            </w:r>
          </w:p>
        </w:tc>
        <w:tc>
          <w:tcPr>
            <w:tcW w:type="dxa" w:w="1728"/>
          </w:tcPr>
          <w:p>
            <w:r>
              <w:t>64.350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274.560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60.060</w:t>
            </w:r>
          </w:p>
        </w:tc>
        <w:tc>
          <w:tcPr>
            <w:tcW w:type="dxa" w:w="1728"/>
          </w:tcPr>
          <w:p>
            <w:r>
              <w:t>51.480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240.240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34.320</w:t>
            </w:r>
          </w:p>
        </w:tc>
        <w:tc>
          <w:tcPr>
            <w:tcW w:type="dxa" w:w="1728"/>
          </w:tcPr>
          <w:p>
            <w:r>
              <w:t>38.610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137.280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25.740</w:t>
            </w:r>
          </w:p>
        </w:tc>
        <w:tc>
          <w:tcPr>
            <w:tcW w:type="dxa" w:w="1728"/>
          </w:tcPr>
          <w:p>
            <w:r>
              <w:t>34.320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102.960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Q4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429.000</w:t>
            </w:r>
          </w:p>
        </w:tc>
        <w:tc>
          <w:tcPr>
            <w:tcW w:type="dxa" w:w="1728"/>
          </w:tcPr>
          <w:p>
            <w:r>
              <w:t>416.130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248.819</w:t>
            </w:r>
          </w:p>
        </w:tc>
        <w:tc>
          <w:tcPr>
            <w:tcW w:type="dxa" w:w="1728"/>
          </w:tcPr>
          <w:p>
            <w:r>
              <w:t>235.950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77.220</w:t>
            </w:r>
          </w:p>
        </w:tc>
        <w:tc>
          <w:tcPr>
            <w:tcW w:type="dxa" w:w="1728"/>
          </w:tcPr>
          <w:p>
            <w:r>
              <w:t>77.220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25.740</w:t>
            </w:r>
          </w:p>
        </w:tc>
        <w:tc>
          <w:tcPr>
            <w:tcW w:type="dxa" w:w="1728"/>
          </w:tcPr>
          <w:p>
            <w:r>
              <w:t>25.740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42.900</w:t>
            </w:r>
          </w:p>
        </w:tc>
        <w:tc>
          <w:tcPr>
            <w:tcW w:type="dxa" w:w="1728"/>
          </w:tcPr>
          <w:p>
            <w:r>
              <w:t>42.900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26.598</w:t>
            </w:r>
          </w:p>
        </w:tc>
        <w:tc>
          <w:tcPr>
            <w:tcW w:type="dxa" w:w="1728"/>
          </w:tcPr>
          <w:p>
            <w:r>
              <w:t>27.927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18 (Target &lt;25, Vorjahr 26)</w:t>
        <w:br/>
        <w:t>Internal PPM: 72 (Target &lt;120)</w:t>
        <w:br/>
        <w:t>OEE Gesamtwerk: 84 % (Target 85 %)</w:t>
        <w:br/>
        <w:t>First Pass Yield (FPY) Linien 1-5: 96,8 % / 97,4 % / 95,2 % / 98,1 % / 97,7 %</w:t>
        <w:br/>
        <w:t>Reklamationen Q4: 8 Stueck (davon 2 mit 8D-Report eingeleitet)</w:t>
        <w:br/>
        <w:t>IATF-16949 Surveillance-Audit 2020: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Q4: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Q4: 17.160 TCZK (geplant 21.450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Q1/2021 erwartet vergleichbares Umsatzniveau, weiterhin Druck auf Materialkosten. Forecast-Update folgt mit RCZ_FC_Update_2020_Q1.</w:t>
      </w:r>
    </w:p>
    <w:p>
      <w:pPr>
        <w:pStyle w:val="Heading3"/>
      </w:pPr>
      <w:r>
        <w:t>Schlussvermerk</w:t>
      </w:r>
    </w:p>
    <w:p>
      <w:r>
        <w:t>Brno, 19. Januar 2021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