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CZ s.r.o.</w:t>
      </w:r>
    </w:p>
    <w:p>
      <w:r>
        <w:rPr>
          <w:sz w:val="18"/>
        </w:rPr>
        <w:t>Tuzemska 47, 627 00 Brno-Slatina, Ceska republika  |  ICO 28765432, DIC CZ28765432  |  C 87654, KS Brno (Krajsky soud v Brne)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Versicherungsnachweis 2023 – Brennhagen CZ s.r.o. (Brno)</w:t>
      </w:r>
    </w:p>
    <w:p>
      <w:pPr>
        <w:jc w:val="center"/>
      </w:pPr>
      <w:r>
        <w:t>Stand: 1. Januar 2023 | Konzernpolicen REA + lokale CZ-Policen</w:t>
      </w:r>
    </w:p>
    <w:p/>
    <w:p>
      <w:pPr>
        <w:pStyle w:val="Heading3"/>
      </w:pPr>
      <w:r>
        <w:t>Konzernpolicen via REA</w:t>
      </w:r>
    </w:p>
    <w:p>
      <w:r>
        <w:t>Die Brennhagen CZ s.r.o. ist als Tochter im Konzernversicherungsprogramm der Brennhagen Elektronik AG (REA Stuttgart) eingeschlossen. Versicherungsmakler ist Marsh GmbH (Frankfurt), Lead-Underwriter siehe Einzelpolicen. Folgende Konzernpolicen erfassen die RCZ:</w:t>
      </w:r>
    </w:p>
    <w:p>
      <w:pPr>
        <w:pStyle w:val="Heading3"/>
      </w:pPr>
      <w:r>
        <w:t>Policenuebersicht (Konzern + lokal)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Sparte</w:t>
            </w:r>
          </w:p>
        </w:tc>
        <w:tc>
          <w:tcPr>
            <w:tcW w:type="dxa" w:w="1440"/>
          </w:tcPr>
          <w:p>
            <w:r>
              <w:t>Versicherer</w:t>
            </w:r>
          </w:p>
        </w:tc>
        <w:tc>
          <w:tcPr>
            <w:tcW w:type="dxa" w:w="1440"/>
          </w:tcPr>
          <w:p>
            <w:r>
              <w:t>Police-Nr.</w:t>
            </w:r>
          </w:p>
        </w:tc>
        <w:tc>
          <w:tcPr>
            <w:tcW w:type="dxa" w:w="1440"/>
          </w:tcPr>
          <w:p>
            <w:r>
              <w:t>Versicherungssumme</w:t>
            </w:r>
          </w:p>
        </w:tc>
        <w:tc>
          <w:tcPr>
            <w:tcW w:type="dxa" w:w="1440"/>
          </w:tcPr>
          <w:p>
            <w:r>
              <w:t>Selbstbehalt</w:t>
            </w:r>
          </w:p>
        </w:tc>
        <w:tc>
          <w:tcPr>
            <w:tcW w:type="dxa" w:w="1440"/>
          </w:tcPr>
          <w:p>
            <w:r>
              <w:t>Praemienanteil RCZ p.a.</w:t>
            </w:r>
          </w:p>
        </w:tc>
      </w:tr>
      <w:tr>
        <w:tc>
          <w:tcPr>
            <w:tcW w:type="dxa" w:w="1440"/>
          </w:tcPr>
          <w:p>
            <w:r>
              <w:t>Industrie-/Sach-/BU</w:t>
            </w:r>
          </w:p>
        </w:tc>
        <w:tc>
          <w:tcPr>
            <w:tcW w:type="dxa" w:w="1440"/>
          </w:tcPr>
          <w:p>
            <w:r>
              <w:t>AXA XL (Frankfurt)</w:t>
            </w:r>
          </w:p>
        </w:tc>
        <w:tc>
          <w:tcPr>
            <w:tcW w:type="dxa" w:w="1440"/>
          </w:tcPr>
          <w:p>
            <w:r>
              <w:t>AXA-IND-RG-2023-001</w:t>
            </w:r>
          </w:p>
        </w:tc>
        <w:tc>
          <w:tcPr>
            <w:tcW w:type="dxa" w:w="1440"/>
          </w:tcPr>
          <w:p>
            <w:r>
              <w:t>850 Mio. EUR (PML, Konzern)</w:t>
            </w:r>
          </w:p>
        </w:tc>
        <w:tc>
          <w:tcPr>
            <w:tcW w:type="dxa" w:w="1440"/>
          </w:tcPr>
          <w:p>
            <w:r>
              <w:t>250.000 EUR/Schaden</w:t>
            </w:r>
          </w:p>
        </w:tc>
        <w:tc>
          <w:tcPr>
            <w:tcW w:type="dxa" w:w="1440"/>
          </w:tcPr>
          <w:p>
            <w:r>
              <w:t>ca. 380.000 EUR</w:t>
            </w:r>
          </w:p>
        </w:tc>
      </w:tr>
      <w:tr>
        <w:tc>
          <w:tcPr>
            <w:tcW w:type="dxa" w:w="1440"/>
          </w:tcPr>
          <w:p>
            <w:r>
              <w:t>Betriebshaftpflicht (D&amp;O excl.)</w:t>
            </w:r>
          </w:p>
        </w:tc>
        <w:tc>
          <w:tcPr>
            <w:tcW w:type="dxa" w:w="1440"/>
          </w:tcPr>
          <w:p>
            <w:r>
              <w:t>HDI Global SE</w:t>
            </w:r>
          </w:p>
        </w:tc>
        <w:tc>
          <w:tcPr>
            <w:tcW w:type="dxa" w:w="1440"/>
          </w:tcPr>
          <w:p>
            <w:r>
              <w:t>HDI-BHV-RG-2023-08</w:t>
            </w:r>
          </w:p>
        </w:tc>
        <w:tc>
          <w:tcPr>
            <w:tcW w:type="dxa" w:w="1440"/>
          </w:tcPr>
          <w:p>
            <w:r>
              <w:t>75 Mio. EUR (Personenschaden)</w:t>
            </w:r>
          </w:p>
        </w:tc>
        <w:tc>
          <w:tcPr>
            <w:tcW w:type="dxa" w:w="1440"/>
          </w:tcPr>
          <w:p>
            <w:r>
              <w:t>100.000 EUR</w:t>
            </w:r>
          </w:p>
        </w:tc>
        <w:tc>
          <w:tcPr>
            <w:tcW w:type="dxa" w:w="1440"/>
          </w:tcPr>
          <w:p>
            <w:r>
              <w:t>ca. 95.000 EUR</w:t>
            </w:r>
          </w:p>
        </w:tc>
      </w:tr>
      <w:tr>
        <w:tc>
          <w:tcPr>
            <w:tcW w:type="dxa" w:w="1440"/>
          </w:tcPr>
          <w:p>
            <w:r>
              <w:t>Produkthaftpflicht (Auto-OEM)</w:t>
            </w:r>
          </w:p>
        </w:tc>
        <w:tc>
          <w:tcPr>
            <w:tcW w:type="dxa" w:w="1440"/>
          </w:tcPr>
          <w:p>
            <w:r>
              <w:t>AIG Europe SA</w:t>
            </w:r>
          </w:p>
        </w:tc>
        <w:tc>
          <w:tcPr>
            <w:tcW w:type="dxa" w:w="1440"/>
          </w:tcPr>
          <w:p>
            <w:r>
              <w:t>AIG-PROD-RG-2023-12</w:t>
            </w:r>
          </w:p>
        </w:tc>
        <w:tc>
          <w:tcPr>
            <w:tcW w:type="dxa" w:w="1440"/>
          </w:tcPr>
          <w:p>
            <w:r>
              <w:t>150 Mio. EUR (clean Recall)</w:t>
            </w:r>
          </w:p>
        </w:tc>
        <w:tc>
          <w:tcPr>
            <w:tcW w:type="dxa" w:w="1440"/>
          </w:tcPr>
          <w:p>
            <w:r>
              <w:t>250.000 EUR</w:t>
            </w:r>
          </w:p>
        </w:tc>
        <w:tc>
          <w:tcPr>
            <w:tcW w:type="dxa" w:w="1440"/>
          </w:tcPr>
          <w:p>
            <w:r>
              <w:t>ca. 220.000 EUR</w:t>
            </w:r>
          </w:p>
        </w:tc>
      </w:tr>
      <w:tr>
        <w:tc>
          <w:tcPr>
            <w:tcW w:type="dxa" w:w="1440"/>
          </w:tcPr>
          <w:p>
            <w:r>
              <w:t>D&amp;O / Managerhaftpflicht</w:t>
            </w:r>
          </w:p>
        </w:tc>
        <w:tc>
          <w:tcPr>
            <w:tcW w:type="dxa" w:w="1440"/>
          </w:tcPr>
          <w:p>
            <w:r>
              <w:t>Allianz GCS SE</w:t>
            </w:r>
          </w:p>
        </w:tc>
        <w:tc>
          <w:tcPr>
            <w:tcW w:type="dxa" w:w="1440"/>
          </w:tcPr>
          <w:p>
            <w:r>
              <w:t>AGCS-DO-RG-2023-03</w:t>
            </w:r>
          </w:p>
        </w:tc>
        <w:tc>
          <w:tcPr>
            <w:tcW w:type="dxa" w:w="1440"/>
          </w:tcPr>
          <w:p>
            <w:r>
              <w:t>50 Mio. EUR</w:t>
            </w:r>
          </w:p>
        </w:tc>
        <w:tc>
          <w:tcPr>
            <w:tcW w:type="dxa" w:w="1440"/>
          </w:tcPr>
          <w:p>
            <w:r>
              <w:t>150.000 EUR</w:t>
            </w:r>
          </w:p>
        </w:tc>
        <w:tc>
          <w:tcPr>
            <w:tcW w:type="dxa" w:w="1440"/>
          </w:tcPr>
          <w:p>
            <w:r>
              <w:t>Konzern (RCZ-Allokation 28.000 EUR)</w:t>
            </w:r>
          </w:p>
        </w:tc>
      </w:tr>
      <w:tr>
        <w:tc>
          <w:tcPr>
            <w:tcW w:type="dxa" w:w="1440"/>
          </w:tcPr>
          <w:p>
            <w:r>
              <w:t>Transport (Cargo)</w:t>
            </w:r>
          </w:p>
        </w:tc>
        <w:tc>
          <w:tcPr>
            <w:tcW w:type="dxa" w:w="1440"/>
          </w:tcPr>
          <w:p>
            <w:r>
              <w:t>Zurich Insurance plc</w:t>
            </w:r>
          </w:p>
        </w:tc>
        <w:tc>
          <w:tcPr>
            <w:tcW w:type="dxa" w:w="1440"/>
          </w:tcPr>
          <w:p>
            <w:r>
              <w:t>ZUR-CRG-RG-2023-06</w:t>
            </w:r>
          </w:p>
        </w:tc>
        <w:tc>
          <w:tcPr>
            <w:tcW w:type="dxa" w:w="1440"/>
          </w:tcPr>
          <w:p>
            <w:r>
              <w:t>8 Mio. EUR/Sendung</w:t>
            </w:r>
          </w:p>
        </w:tc>
        <w:tc>
          <w:tcPr>
            <w:tcW w:type="dxa" w:w="1440"/>
          </w:tcPr>
          <w:p>
            <w:r>
              <w:t>5.000 EUR</w:t>
            </w:r>
          </w:p>
        </w:tc>
        <w:tc>
          <w:tcPr>
            <w:tcW w:type="dxa" w:w="1440"/>
          </w:tcPr>
          <w:p>
            <w:r>
              <w:t>ca. 42.000 EUR</w:t>
            </w:r>
          </w:p>
        </w:tc>
      </w:tr>
      <w:tr>
        <w:tc>
          <w:tcPr>
            <w:tcW w:type="dxa" w:w="1440"/>
          </w:tcPr>
          <w:p>
            <w:r>
              <w:t>Cyber</w:t>
            </w:r>
          </w:p>
        </w:tc>
        <w:tc>
          <w:tcPr>
            <w:tcW w:type="dxa" w:w="1440"/>
          </w:tcPr>
          <w:p>
            <w:r>
              <w:t>Munich Re Specialty</w:t>
            </w:r>
          </w:p>
        </w:tc>
        <w:tc>
          <w:tcPr>
            <w:tcW w:type="dxa" w:w="1440"/>
          </w:tcPr>
          <w:p>
            <w:r>
              <w:t>MR-CYB-RG-2023-04</w:t>
            </w:r>
          </w:p>
        </w:tc>
        <w:tc>
          <w:tcPr>
            <w:tcW w:type="dxa" w:w="1440"/>
          </w:tcPr>
          <w:p>
            <w:r>
              <w:t>25 Mio. EUR</w:t>
            </w:r>
          </w:p>
        </w:tc>
        <w:tc>
          <w:tcPr>
            <w:tcW w:type="dxa" w:w="1440"/>
          </w:tcPr>
          <w:p>
            <w:r>
              <w:t>500.000 EUR</w:t>
            </w:r>
          </w:p>
        </w:tc>
        <w:tc>
          <w:tcPr>
            <w:tcW w:type="dxa" w:w="1440"/>
          </w:tcPr>
          <w:p>
            <w:r>
              <w:t>Konzern (RCZ-Allokation 18.000 EUR)</w:t>
            </w:r>
          </w:p>
        </w:tc>
      </w:tr>
      <w:tr>
        <w:tc>
          <w:tcPr>
            <w:tcW w:type="dxa" w:w="1440"/>
          </w:tcPr>
          <w:p>
            <w:r>
              <w:t>KFZ-Flotte CZ (lokal)</w:t>
            </w:r>
          </w:p>
        </w:tc>
        <w:tc>
          <w:tcPr>
            <w:tcW w:type="dxa" w:w="1440"/>
          </w:tcPr>
          <w:p>
            <w:r>
              <w:t>Kooperativa pojistovna a.s.</w:t>
            </w:r>
          </w:p>
        </w:tc>
        <w:tc>
          <w:tcPr>
            <w:tcW w:type="dxa" w:w="1440"/>
          </w:tcPr>
          <w:p>
            <w:r>
              <w:t>KOO-FL-2023-CZ-RCZ-12</w:t>
            </w:r>
          </w:p>
        </w:tc>
        <w:tc>
          <w:tcPr>
            <w:tcW w:type="dxa" w:w="1440"/>
          </w:tcPr>
          <w:p>
            <w:r>
              <w:t>haftpflicht gesetzl.+ Voll</w:t>
            </w:r>
          </w:p>
        </w:tc>
        <w:tc>
          <w:tcPr>
            <w:tcW w:type="dxa" w:w="1440"/>
          </w:tcPr>
          <w:p>
            <w:r>
              <w:t>10.000 CZK</w:t>
            </w:r>
          </w:p>
        </w:tc>
        <w:tc>
          <w:tcPr>
            <w:tcW w:type="dxa" w:w="1440"/>
          </w:tcPr>
          <w:p>
            <w:r>
              <w:t>ca. 1,2 Mio. CZK</w:t>
            </w:r>
          </w:p>
        </w:tc>
      </w:tr>
      <w:tr>
        <w:tc>
          <w:tcPr>
            <w:tcW w:type="dxa" w:w="1440"/>
          </w:tcPr>
          <w:p>
            <w:r>
              <w:t>Gebaeude (CTP Park Brno, lokal)</w:t>
            </w:r>
          </w:p>
        </w:tc>
        <w:tc>
          <w:tcPr>
            <w:tcW w:type="dxa" w:w="1440"/>
          </w:tcPr>
          <w:p>
            <w:r>
              <w:t>Generali Ceska pojistovna a.s.</w:t>
            </w:r>
          </w:p>
        </w:tc>
        <w:tc>
          <w:tcPr>
            <w:tcW w:type="dxa" w:w="1440"/>
          </w:tcPr>
          <w:p>
            <w:r>
              <w:t>GEN-GEB-2023-RCZ-44</w:t>
            </w:r>
          </w:p>
        </w:tc>
        <w:tc>
          <w:tcPr>
            <w:tcW w:type="dxa" w:w="1440"/>
          </w:tcPr>
          <w:p>
            <w:r>
              <w:t>180 Mio. CZK (Sach+Inventar)</w:t>
            </w:r>
          </w:p>
        </w:tc>
        <w:tc>
          <w:tcPr>
            <w:tcW w:type="dxa" w:w="1440"/>
          </w:tcPr>
          <w:p>
            <w:r>
              <w:t>50.000 CZK</w:t>
            </w:r>
          </w:p>
        </w:tc>
        <w:tc>
          <w:tcPr>
            <w:tcW w:type="dxa" w:w="1440"/>
          </w:tcPr>
          <w:p>
            <w:r>
              <w:t>ca. 0,9 Mio. CZK</w:t>
            </w:r>
          </w:p>
        </w:tc>
      </w:tr>
      <w:tr>
        <w:tc>
          <w:tcPr>
            <w:tcW w:type="dxa" w:w="1440"/>
          </w:tcPr>
          <w:p>
            <w:r>
              <w:t>Krankenversicherung Mitarbeiter</w:t>
            </w:r>
          </w:p>
        </w:tc>
        <w:tc>
          <w:tcPr>
            <w:tcW w:type="dxa" w:w="1440"/>
          </w:tcPr>
          <w:p>
            <w:r>
              <w:t>VZP/Zamestnanecka/Vojenska</w:t>
            </w:r>
          </w:p>
        </w:tc>
        <w:tc>
          <w:tcPr>
            <w:tcW w:type="dxa" w:w="1440"/>
          </w:tcPr>
          <w:p>
            <w:r>
              <w:t>gesetzlich/povinne</w:t>
            </w:r>
          </w:p>
        </w:tc>
        <w:tc>
          <w:tcPr>
            <w:tcW w:type="dxa" w:w="1440"/>
          </w:tcPr>
          <w:p>
            <w:r>
              <w:t>gesetzl. Leistungsspektrum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Arbeitgeber-Anteil ca. 48 Mio. CZK</w:t>
            </w:r>
          </w:p>
        </w:tc>
      </w:tr>
    </w:tbl>
    <w:p>
      <w:pPr>
        <w:pStyle w:val="Heading3"/>
      </w:pPr>
      <w:r>
        <w:t>Schadenfaelle 2022/2023</w:t>
      </w:r>
    </w:p>
    <w:p>
      <w:r>
        <w:t>2022: 1 Sachschaden Buerogebaeude (Wasserrohrbruch, 28.000 EUR, gedeckt via AXA XL nach Selbstbehalt). 2 KFZ-Schaeden (Parkschaeden, lokal Kooperativa, voll gedeckt). Keine Produkthaftpflicht-Faelle. Keine Cyber-Vorfaelle. 2023 H1: 0 wesentliche Schaeden.</w:t>
      </w:r>
    </w:p>
    <w:p>
      <w:pPr>
        <w:pStyle w:val="Heading3"/>
      </w:pPr>
      <w:r>
        <w:t>Compliance / Lokale Pflichten</w:t>
      </w:r>
    </w:p>
    <w:p>
      <w:r>
        <w:t>Die in der Tschechischen Republik vorgeschriebenen lokalen Versicherungen (Kfz-Haftpflicht POV, Gebaeude bei CTP-Mietvertrag-Pflicht, Unfallversicherung Arbeitgeber via Kooperativa) sind abgeschlossen. Konzernpolicen werden ueber Marsh-Wording in lokale Folgepolicen (Kooperativa, Generali Ceska) via Fronting-Vereinbarung eingebracht.</w:t>
      </w:r>
    </w:p>
    <w:p>
      <w:pPr>
        <w:pStyle w:val="Heading3"/>
      </w:pPr>
      <w:r>
        <w:t>Ansprechpartner / Schadenmeldung</w:t>
      </w:r>
    </w:p>
    <w:p>
      <w:r>
        <w:t>Schadenmeldung intern: Martina Svobodova (Finanzcontroller) als Schadenkoordinator. Eskalation: Marsh Service Center DACH+CEE, marsh.frankfurt@marsh.com. Konzern-Risikomanagement: Andreas Buehler, CAE (REA Stuttgart). Lokale Notruf-Nr. Kooperativa 24/7: 957 105 105.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