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 Letter Jahresabschlusspruefung 2021</w:t>
      </w:r>
    </w:p>
    <w:p>
      <w:pPr>
        <w:jc w:val="center"/>
      </w:pPr>
      <w:r>
        <w:t>Prufer: KPMG Ceska republika, s.r.o. | uneingeschr. Bestaetigungsvermerk</w:t>
      </w:r>
    </w:p>
    <w:p/>
    <w:p>
      <w:pPr>
        <w:pStyle w:val="Heading3"/>
      </w:pPr>
      <w:r>
        <w:t>Adressat</w:t>
      </w:r>
    </w:p>
    <w:p>
      <w:r>
        <w:t>An die Geschaeftsleitung der Brennhagen CZ s.r.o.</w:t>
        <w:br/>
        <w:t>Z. Hd. Petr Novak, Jednatel</w:t>
        <w:br/>
        <w:t>Kopie: Group CFO Laura Bauer (REA), Group Controller Florian Maier (REA), Chief Audit Executive Andreas Buehler (REA), KPMG AG WPG (Lead Partner Dr. Maximilian Brand, Stuttgart)</w:t>
      </w:r>
    </w:p>
    <w:p>
      <w:pPr>
        <w:pStyle w:val="Heading3"/>
      </w:pPr>
      <w:r>
        <w:t>Aussteller</w:t>
      </w:r>
    </w:p>
    <w:p>
      <w:r>
        <w:t>KPMG Ceska republika, s.r.o., Pobrezni 648/1a, 186 00 Praha 8</w:t>
        <w:br/>
        <w:t>Unterzeichnender Partner: Ing. Tomas Holecek, statutarni auditor (Oprav. KACR c. 2456)</w:t>
        <w:br/>
        <w:t>Auditteam Brno: Mgr. Hana Vesela (Senior Manager), Bc. Jiri Slansky (Senior), Bc. Veronika Kratochvilova (Assistant)</w:t>
      </w:r>
    </w:p>
    <w:p>
      <w:pPr>
        <w:pStyle w:val="Heading3"/>
      </w:pPr>
      <w:r>
        <w:t>Pruefungsgegenstand</w:t>
      </w:r>
    </w:p>
    <w:p>
      <w:r>
        <w:t>Pruefung des Jahresabschlusses 2021 (CZ-GAAP) sowie des IFRS-Reporting-Pakets der Brennhagen CZ s.r.o. zum 31.12.2021. Pruefungsdurchfuehrung gemaess Mezinarodni auditorske standardy (ISA – International Standards on Auditing) und tschechischem Pruefungsgesetz (Zakon c. 93/2009 Sb., o auditorech). Pruefungszeitraum vor Ort: 10. - 21. unora 2022 (Field-Work). Stichprobenbasis: 65 % der Erloese, 78 % der Materialaufwaende, 100 % Intercompany-Salden (IC-Matching mit REG / RHO).</w:t>
      </w:r>
    </w:p>
    <w:p>
      <w:pPr>
        <w:pStyle w:val="Heading3"/>
      </w:pPr>
      <w:r>
        <w:t>Bestaetigungsvermerk (Kurzfassung)</w:t>
      </w:r>
    </w:p>
    <w:p>
      <w:r>
        <w:t>Auf Grundlage unserer Pruefung erteilen wir einen uneingeschraenkten Bestaetigungsvermerk. Der Jahresabschluss vermittelt unter Beachtung der tschechischen Bilanzierungsvorschriften (Zakon c. 563/1991 Sb., o ucetnictvi, sowie Vyhlaska 500/2002 Sb.) ein den tatsaechlichen Verhaeltnissen entsprechendes Bild der Vermoegens-, Finanz- und Ertragslage. Auch das IFRS-Reporting-Paket entspricht in allen wesentlichen Belangen den Konzernrichtlinien REA (IFRS 15/16/9/IAS 19).</w:t>
      </w:r>
    </w:p>
    <w:p>
      <w:pPr>
        <w:pStyle w:val="Heading3"/>
      </w:pPr>
      <w:r>
        <w:t>Pruefungsfeststellungen (Findings)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</w:t>
            </w:r>
          </w:p>
        </w:tc>
        <w:tc>
          <w:tcPr>
            <w:tcW w:type="dxa" w:w="1728"/>
          </w:tcPr>
          <w:p>
            <w:r>
              <w:t>Bereich</w:t>
            </w:r>
          </w:p>
        </w:tc>
        <w:tc>
          <w:tcPr>
            <w:tcW w:type="dxa" w:w="1728"/>
          </w:tcPr>
          <w:p>
            <w:r>
              <w:t>Bewertung</w:t>
            </w:r>
          </w:p>
        </w:tc>
        <w:tc>
          <w:tcPr>
            <w:tcW w:type="dxa" w:w="1728"/>
          </w:tcPr>
          <w:p>
            <w:r>
              <w:t>Feststellung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Vorraete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  <w:tc>
          <w:tcPr>
            <w:tcW w:type="dxa" w:w="1728"/>
          </w:tcPr>
          <w:p>
            <w:r>
              <w:t>Bewertung der Halbfertigerzeugnisse Linie 3 enthielt veraltete Standardkosten (Kupferpreis 2019), Auswirkung +1,8 Mio. CZK.</w:t>
            </w:r>
          </w:p>
        </w:tc>
        <w:tc>
          <w:tcPr>
            <w:tcW w:type="dxa" w:w="1728"/>
          </w:tcPr>
          <w:p>
            <w:r>
              <w:t>Quartalsweise Anpassung der Standardkostensaetze ab 2022.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SAP-Berechtigungen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Kritische SAP-Rolle SAP_ALL bei 2 Mitarbeitern aktiv (Notfall-Account).</w:t>
            </w:r>
          </w:p>
        </w:tc>
        <w:tc>
          <w:tcPr>
            <w:tcW w:type="dxa" w:w="1728"/>
          </w:tcPr>
          <w:p>
            <w:r>
              <w:t>Notfall-Konzept dokumentieren, Firefighter-Verfahren einfuehren.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Inventur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Inventurprotokolle Lager 4 nicht von zweiter Person abgezeichnet.</w:t>
            </w:r>
          </w:p>
        </w:tc>
        <w:tc>
          <w:tcPr>
            <w:tcW w:type="dxa" w:w="1728"/>
          </w:tcPr>
          <w:p>
            <w:r>
              <w:t>4-Augen-Prinzip strikt durchsetzen.</w:t>
            </w:r>
          </w:p>
        </w:tc>
      </w:tr>
    </w:tbl>
    <w:p>
      <w:pPr>
        <w:pStyle w:val="Heading3"/>
      </w:pPr>
      <w:r>
        <w:t>Internes Kontrollsystem (IKS)</w:t>
      </w:r>
    </w:p>
    <w:p>
      <w:r>
        <w:t>Das IKS der RCZ wird als grundsaetzlich angemessen eingeschaetzt. Im Berichtsjahr wurden 14 Kontrollpunkte ueberprueft (SAP-Zugriffe, 4-Augen-Prinzip Wareneingang, Zahlungsfreigabe, Inventur, IC-Abstimmung). Wesentliche Schwaeche: keine. Verbesserungspotenzial: Automatisierung der monatlichen IC-Abstimmung mit RHO und REG (derzeit noch teilweise Excel-basiert), avisiert mit SAP S/4HANA-Migration H2/2022.</w:t>
      </w:r>
    </w:p>
    <w:p>
      <w:pPr>
        <w:pStyle w:val="Heading3"/>
      </w:pPr>
      <w:r>
        <w:t>Wesentliche Schaetzungen / Risiken</w:t>
      </w:r>
    </w:p>
    <w:p>
      <w:r>
        <w:t>Wesentliche Schaetzungen: (1) Garantierueckstellung (8,4 Mio. CZK) basierend auf 0,4 % vom Umsatz; (2) Rueckstellung Drohverlust Materiallieferungen Kupfer (1,2 Mio. CZK); (3) Forderungsabwertung Externer Aftermarket 0,8 Mio. CZK. Risiken: Kupferpreisvolatilitaet, OEM-Single-Source-Risiko (75 % Umsatz auf 4 OEMs).</w:t>
      </w:r>
    </w:p>
    <w:p>
      <w:pPr>
        <w:pStyle w:val="Heading3"/>
      </w:pPr>
      <w:r>
        <w:t>Transfer Pricing</w:t>
      </w:r>
    </w:p>
    <w:p>
      <w:r>
        <w:t>Die Konzernverrechnungspreise (Cost-Plus 7,5 % auf direkte und allokierte indirekte Herstellkosten) wurden anhand der Master-File 2022 sowie Local-File RCZ 2021 ueberprueft. Die Cost-Plus-Marge liegt im Interquartilsbereich der Benchmark-Studie (Amadeus-Database, OECD-konforme Vergleichsstudie durch KPMG TP-Team Praha, Stand 2021). Keine Beanstandungen.</w:t>
      </w:r>
    </w:p>
    <w:p>
      <w:pPr>
        <w:pStyle w:val="Heading3"/>
      </w:pPr>
      <w:r>
        <w:t>Compliance / Steuerliche Risiken</w:t>
      </w:r>
    </w:p>
    <w:p>
      <w:r>
        <w:t>DPPO-Vorauszahlungen wurden fristgerecht geleistet. Die DPH-(Mehrwertsteuer-) Meldungen sowie das Kontrollni hlaseni wurden monatlich termingerecht eingereicht. EORI-Nummer fuer Drittland-Exporte (UK, CH, RS) liegt vor. Kein Pending Tax Audit bekannt.</w:t>
      </w:r>
    </w:p>
    <w:p>
      <w:pPr>
        <w:pStyle w:val="Heading3"/>
      </w:pPr>
      <w:r>
        <w:t>Schlussvermerk</w:t>
      </w:r>
    </w:p>
    <w:p>
      <w:r>
        <w:t>Praha / Brno, 28. unora 2022</w:t>
      </w:r>
    </w:p>
    <w:p>
      <w:r>
        <w:t>KPMG Ceska republika, s.r.o., Pobrezni 648/1a, 186 00 Praha 8</w:t>
      </w:r>
    </w:p>
    <w:p>
      <w:r>
        <w:t>Ing. Tomas Holecek, statutarni auditor (Partner)</w:t>
        <w:br/>
        <w:t>Mgr. Hana Vesela, Senior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