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CZ s.r.o.</w:t>
      </w:r>
    </w:p>
    <w:p>
      <w:r>
        <w:rPr>
          <w:sz w:val="18"/>
        </w:rPr>
        <w:t>Tuzemska 47, 627 00 Brno-Slatina, Ceska republika  |  ICO 28765432, DIC CZ28765432  |  C 87654, KS Brno (Krajsky soud v Brne)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Faktura / Rechnung Nr. RCZ-REG-2021-07-001</w:t>
      </w:r>
    </w:p>
    <w:p>
      <w:pPr>
        <w:jc w:val="center"/>
      </w:pPr>
      <w:r>
        <w:t>RCZ -&gt; REG | Juli 2021 | 11.780.440 CZK (ca. 480,834 EUR)</w:t>
      </w:r>
    </w:p>
    <w:p/>
    <w:p>
      <w:pPr>
        <w:pStyle w:val="Heading3"/>
      </w:pPr>
      <w:r>
        <w:t>Rechnungsdaten</w:t>
      </w:r>
    </w:p>
    <w:p>
      <w:r>
        <w:t>Rechnungsnummer / Cislo faktury: RCZ-REG-2021-07-001</w:t>
        <w:br/>
        <w:t>Rechnungsdatum / Datum vystaveni: 15. Juli 2021</w:t>
        <w:br/>
        <w:t>Leistungsdatum / Datum uskutecneneho zdanitelneho plneni (DUZP): letzter Werktag Juli 2021</w:t>
        <w:br/>
        <w:t>Faelligkeit / Splatnost: 60 Tage netto (Konzernfristen / Group Terms)</w:t>
        <w:br/>
        <w:t>Lieferbedingungen / Dodaci podminky: FCA Brno, Incoterms 2020</w:t>
        <w:br/>
        <w:t>Variabilni symbol: G202107001</w:t>
      </w:r>
    </w:p>
    <w:p>
      <w:pPr>
        <w:pStyle w:val="Heading3"/>
      </w:pPr>
      <w:r>
        <w:t>Leistender / Dodavatel</w:t>
      </w:r>
    </w:p>
    <w:p>
      <w:r>
        <w:t>Brennhagen CZ s.r.o.</w:t>
        <w:br/>
        <w:t>Tuzemska 47, 627 00 Brno-Slatina, Ceska republika</w:t>
        <w:br/>
        <w:t>ICO 28765432, DIC CZ28765432</w:t>
      </w:r>
    </w:p>
    <w:p>
      <w:r>
        <w:t>Bankverbindung: Komercni banka a.s., Brno</w:t>
        <w:br/>
        <w:t>IBAN: CZ65 0100 0000 0011 2233 4455</w:t>
        <w:br/>
        <w:t>BIC: KOMBCZPP</w:t>
        <w:br/>
        <w:t>Konto fuer EUR-Zahlungen: CZ22 0100 0000 0099 8877 6655</w:t>
      </w:r>
    </w:p>
    <w:p>
      <w:pPr>
        <w:pStyle w:val="Heading3"/>
      </w:pPr>
      <w:r>
        <w:t>Empfaenger / Odberatel</w:t>
      </w:r>
    </w:p>
    <w:p>
      <w:r>
        <w:t>Brennhagen Elektronik GmbH (REG)</w:t>
        <w:br/>
        <w:t>Heilbronner Strasse 88, 74072 Heilbronn, Deutschland</w:t>
        <w:br/>
        <w:t>HRB 221456, Amtsgericht Heilbronn | USt-IdNr. DE312487901</w:t>
      </w:r>
    </w:p>
    <w:p>
      <w:r>
        <w:t>Bestell-Referenz / Objednavka: PO-2021-07-REG-CZ</w:t>
      </w:r>
    </w:p>
    <w:p>
      <w:pPr>
        <w:pStyle w:val="Heading3"/>
      </w:pPr>
      <w:r>
        <w:t>Leistungsumfang / Predmet plneni</w:t>
      </w:r>
    </w:p>
    <w:p>
      <w:r>
        <w:t>Lieferung von Steckverbindern und Subassemblies fuer die Module ICP-3 / ADAS-V4D / ECU-900 / BMS-12 / LightCtrl-7 gemaess Rahmenliefervertrag REG-RCZ 2020 (interner Vertrag IC-RCZ-REG-2020). Verrechnung erfolgt zu Konzern-Verrechnungspreisen (Cost-Plus 7,5 %) gemaess Transfer-Pricing-Master-File 2022 und Local-File RCZ 2022. Die Bestellung ist Teil der monatlichen Roll-up-Belieferung zur Linie 1-4 des Werks Heilbronn (REG).</w:t>
      </w:r>
    </w:p>
    <w:p>
      <w:pPr>
        <w:pStyle w:val="Heading3"/>
      </w:pPr>
      <w:r>
        <w:t>Positionen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Pos.</w:t>
            </w:r>
          </w:p>
        </w:tc>
        <w:tc>
          <w:tcPr>
            <w:tcW w:type="dxa" w:w="1728"/>
          </w:tcPr>
          <w:p>
            <w:r>
              <w:t>Bezeichnung</w:t>
            </w:r>
          </w:p>
        </w:tc>
        <w:tc>
          <w:tcPr>
            <w:tcW w:type="dxa" w:w="1728"/>
          </w:tcPr>
          <w:p>
            <w:r>
              <w:t>Menge</w:t>
            </w:r>
          </w:p>
        </w:tc>
        <w:tc>
          <w:tcPr>
            <w:tcW w:type="dxa" w:w="1728"/>
          </w:tcPr>
          <w:p>
            <w:r>
              <w:t>Einzelpreis CZK</w:t>
            </w:r>
          </w:p>
        </w:tc>
        <w:tc>
          <w:tcPr>
            <w:tcW w:type="dxa" w:w="1728"/>
          </w:tcPr>
          <w:p>
            <w:r>
              <w:t>Gesamtpreis CZK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Steckverbinder MQS-12 fuer ECU-900 (Pin-Header)</w:t>
            </w:r>
          </w:p>
        </w:tc>
        <w:tc>
          <w:tcPr>
            <w:tcW w:type="dxa" w:w="1728"/>
          </w:tcPr>
          <w:p>
            <w:r>
              <w:t>86.550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2.769.600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Steckverbinder MLK-08 fuer ICP-3 (Infotainment)</w:t>
            </w:r>
          </w:p>
        </w:tc>
        <w:tc>
          <w:tcPr>
            <w:tcW w:type="dxa" w:w="1728"/>
          </w:tcPr>
          <w:p>
            <w:r>
              <w:t>43.760</w:t>
            </w:r>
          </w:p>
        </w:tc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1.794.160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Steckverbinder HV-3-fach fuer BMS-12 (Hochvolt)</w:t>
            </w:r>
          </w:p>
        </w:tc>
        <w:tc>
          <w:tcPr>
            <w:tcW w:type="dxa" w:w="1728"/>
          </w:tcPr>
          <w:p>
            <w:r>
              <w:t>16.410</w:t>
            </w:r>
          </w:p>
        </w:tc>
        <w:tc>
          <w:tcPr>
            <w:tcW w:type="dxa" w:w="1728"/>
          </w:tcPr>
          <w:p>
            <w:r>
              <w:t>188</w:t>
            </w:r>
          </w:p>
        </w:tc>
        <w:tc>
          <w:tcPr>
            <w:tcW w:type="dxa" w:w="1728"/>
          </w:tcPr>
          <w:p>
            <w:r>
              <w:t>3.085.080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Steckverbinder Coax FAKRA-Z fuer ADAS-V4D</w:t>
            </w:r>
          </w:p>
        </w:tc>
        <w:tc>
          <w:tcPr>
            <w:tcW w:type="dxa" w:w="1728"/>
          </w:tcPr>
          <w:p>
            <w:r>
              <w:t>20.080</w:t>
            </w:r>
          </w:p>
        </w:tc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1.506.000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Subassembly Kabelsatz LightCtrl-7 (1,2 m)</w:t>
            </w:r>
          </w:p>
        </w:tc>
        <w:tc>
          <w:tcPr>
            <w:tcW w:type="dxa" w:w="1728"/>
          </w:tcPr>
          <w:p>
            <w:r>
              <w:t>10.940</w:t>
            </w:r>
          </w:p>
        </w:tc>
        <w:tc>
          <w:tcPr>
            <w:tcW w:type="dxa" w:w="1728"/>
          </w:tcPr>
          <w:p>
            <w:r>
              <w:t>240</w:t>
            </w:r>
          </w:p>
        </w:tc>
        <w:tc>
          <w:tcPr>
            <w:tcW w:type="dxa" w:w="1728"/>
          </w:tcPr>
          <w:p>
            <w:r>
              <w:t>2.625.600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Zwischensumme netto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11.780.440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MWSt (Reverse Charge §92a CZ-USt)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Rechnungsbetrag CZK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11.780.440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Umrechnung CZK-&gt;EUR (Kurs 24.500)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11.780.440 CZK = 480,834.29 EUR</w:t>
            </w:r>
          </w:p>
        </w:tc>
      </w:tr>
    </w:tbl>
    <w:p>
      <w:pPr>
        <w:pStyle w:val="Heading3"/>
      </w:pPr>
      <w:r>
        <w:t>MWSt / DPH-Behandlung</w:t>
      </w:r>
    </w:p>
    <w:p>
      <w:r>
        <w:t>Reverse Charge gemaess § 92a tschechisches Mehrwertsteuergesetz (Zakon c. 235/2004 Sb. o dani z pridane hodnoty) – innergemeinschaftliche Lieferung zwischen RCZ (DIC CZ28765432) und REG (USt-IdNr. DE312487901). Steuerschuld geht auf den Empfaenger ueber. Zusammenfassende Meldung (souhrnne hlaseni) erfolgt monatlich bis zum 25. des Folgemonats an Finanzamt Brno I. EC-Sales-List-Code: 31 (Warenlieferung). Intrastat-Meldung (Versendung CN-Code 8536 7000) erfolgt durch Logistik.</w:t>
      </w:r>
    </w:p>
    <w:p>
      <w:pPr>
        <w:pStyle w:val="Heading3"/>
      </w:pPr>
      <w:r>
        <w:t>Zahlungsbedingungen</w:t>
      </w:r>
    </w:p>
    <w:p>
      <w:r>
        <w:t>Zahlung in CZK auf das oben genannte Komercni banka Konto. Wahlweise EUR-Zahlung zum Tageskurs CNB des Rechnungsdatums (Stand 15. Juli 2021: 24.500 CZK/EUR, Quelle: Ceska narodni banka). Zahlungsverzug: gesetzliche Zinsen nach NV c. 351/2013 Sb. (CNB-Repo + 8 %-Pkte.). Skonto: nicht gewaehrt (Konzern-Standardkonditionen).</w:t>
      </w:r>
    </w:p>
    <w:p>
      <w:pPr>
        <w:pStyle w:val="Heading3"/>
      </w:pPr>
      <w:r>
        <w:t>Buchhalterische Erfassung</w:t>
      </w:r>
    </w:p>
    <w:p>
      <w:r>
        <w:t>Erfassung im SAP S/4HANA (Mandant 700 RCZ, Buchungskreis CZ01) auf Erloeskonto 311000 (Intercompany-Erloese), Steuerkennzeichen RC. Im Empfaengersystem REG (Mandant 100, BUKR DE01) wird die Eingangsrechnung auf Konto 421000 (IC-Verbindlichkeiten RCZ) gebucht. Konzernabstimmung erfolgt monatlich via SAP IC-Matching (Group Reporting Tool, Florian Maier, Group Controller).</w:t>
      </w:r>
    </w:p>
    <w:p>
      <w:pPr>
        <w:pStyle w:val="Heading3"/>
      </w:pPr>
      <w:r>
        <w:t>Genehmigung / Schlussvermerk</w:t>
      </w:r>
    </w:p>
    <w:p>
      <w:r>
        <w:t>Rechnungsausstellung durch Finanzcontroller RCZ. Sachliche Pruefung: Tomas Dvorak, Produktionsleiter (Mengen). Rechnerische Pruefung: Martina Svobodova. Freigabe Werkleiter Petr Novak.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