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Immobilienbewertung Office Shanghai (RCN) – Bewertungsstichtag 31.12.2023</w:t>
      </w:r>
    </w:p>
    <w:p>
      <w:pPr>
        <w:jc w:val="center"/>
      </w:pPr>
      <w:r>
        <w:t>Gutachter: Cushman &amp; Wakefield Shanghai | Auftraggeber: REA / Treasury</w:t>
      </w:r>
    </w:p>
    <w:p/>
    <w:p>
      <w:pPr>
        <w:pStyle w:val="Heading3"/>
      </w:pPr>
      <w:r>
        <w:t>Auftraggeber / Auftragnehmer</w:t>
      </w:r>
    </w:p>
    <w:p>
      <w:r>
        <w:t>Auftraggeber: Brennhagen Elektronik AG, Vaihinger Strasse 120, 70567 Stuttgart</w:t>
        <w:br/>
        <w:t>Auftragnehmer: Cushman &amp; Wakefield Shanghai Ltd., Plaza 66, Tower 2, 1366 Nanjing Road West, Jing'an District, Shanghai 200040, PRC</w:t>
        <w:br/>
        <w:t>Gutachter: Mr. James Liu MRICS, Senior Director Valuation Greater China</w:t>
        <w:br/>
        <w:t>Auftrag erteilt: 12.10.2023 durch Markus Pflanzer (Group Treasurer REA)</w:t>
      </w:r>
    </w:p>
    <w:p>
      <w:pPr>
        <w:pStyle w:val="Heading3"/>
      </w:pPr>
      <w:r>
        <w:t>Bewertungsobjekt</w:t>
      </w:r>
    </w:p>
    <w:p>
      <w:r>
        <w:t>Bueroflaeche der Brennhagen (Shanghai) Co. Ltd. (RCN) im 18. Stock des Plaza 66 Tower 1, 1266 Nanjing Road West, Jing'an, Shanghai. Mietflaeche: 1.840 m2 NLA (Net Leasable Area). Nutzung: Regional HQ + Vertrieb + Aftermarket fuer Asien-Geschaeft. Hinweis: Bueroflaeche wird gemietet (Mieter RCN), nicht im Eigentum REA. Daher Bewertung im Sinne »Mietnutzungswert / Recognised Value of Lease Interest« sowie alternative Mietkostenvergleichswerte fuer ggf. anstehende Verlaengerungsverhandlung.</w:t>
      </w:r>
    </w:p>
    <w:p>
      <w:pPr>
        <w:pStyle w:val="Heading3"/>
      </w:pPr>
      <w:r>
        <w:t>Methodik</w:t>
      </w:r>
    </w:p>
    <w:p>
      <w:r>
        <w:t>Bewertung nach RICS Valuation Standards (Red Book Global 2022). Methoden: (a) Vergleichswertverfahren (Comparable Method) mit Grade-A-Bueromieten Jing'an/Lujiazui CBD, (b) Diskontierter Cashflow (DCF) Mietzahlungen, (c) Anschlussmieten-Szenario 2026 bei Vertragsverlaengerung. Diskontierungssatz WACC RMB: 8,5 % p. a. Exit-Cap-Rate 6,0 %.</w:t>
      </w:r>
    </w:p>
    <w:p>
      <w:pPr>
        <w:pStyle w:val="Heading3"/>
      </w:pPr>
      <w:r>
        <w:t>Marktdaten Shanghai Grade-A-Buero Jing'an Q4/2023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Q4/2023</w:t>
            </w:r>
          </w:p>
        </w:tc>
        <w:tc>
          <w:tcPr>
            <w:tcW w:type="dxa" w:w="2160"/>
          </w:tcPr>
          <w:p>
            <w:r>
              <w:t>Vorjahr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Durchschnitts-Miete Grade-A Jing'an</w:t>
            </w:r>
          </w:p>
        </w:tc>
        <w:tc>
          <w:tcPr>
            <w:tcW w:type="dxa" w:w="2160"/>
          </w:tcPr>
          <w:p>
            <w:r>
              <w:t>10,8 RMB/m2/Tag</w:t>
            </w:r>
          </w:p>
        </w:tc>
        <w:tc>
          <w:tcPr>
            <w:tcW w:type="dxa" w:w="2160"/>
          </w:tcPr>
          <w:p>
            <w:r>
              <w:t>11,5 RMB/m2/Tag</w:t>
            </w:r>
          </w:p>
        </w:tc>
        <w:tc>
          <w:tcPr>
            <w:tcW w:type="dxa" w:w="2160"/>
          </w:tcPr>
          <w:p>
            <w:r>
              <w:t>-6 % YoY</w:t>
            </w:r>
          </w:p>
        </w:tc>
      </w:tr>
      <w:tr>
        <w:tc>
          <w:tcPr>
            <w:tcW w:type="dxa" w:w="2160"/>
          </w:tcPr>
          <w:p>
            <w:r>
              <w:t>Leerstand Grade-A Jing'an</w:t>
            </w:r>
          </w:p>
        </w:tc>
        <w:tc>
          <w:tcPr>
            <w:tcW w:type="dxa" w:w="2160"/>
          </w:tcPr>
          <w:p>
            <w:r>
              <w:t>16,8 %</w:t>
            </w:r>
          </w:p>
        </w:tc>
        <w:tc>
          <w:tcPr>
            <w:tcW w:type="dxa" w:w="2160"/>
          </w:tcPr>
          <w:p>
            <w:r>
              <w:t>13,2 %</w:t>
            </w:r>
          </w:p>
        </w:tc>
        <w:tc>
          <w:tcPr>
            <w:tcW w:type="dxa" w:w="2160"/>
          </w:tcPr>
          <w:p>
            <w:r>
              <w:t>+3,6 pp</w:t>
            </w:r>
          </w:p>
        </w:tc>
      </w:tr>
      <w:tr>
        <w:tc>
          <w:tcPr>
            <w:tcW w:type="dxa" w:w="2160"/>
          </w:tcPr>
          <w:p>
            <w:r>
              <w:t>Aktuell-Miete RCN Plaza 66</w:t>
            </w:r>
          </w:p>
        </w:tc>
        <w:tc>
          <w:tcPr>
            <w:tcW w:type="dxa" w:w="2160"/>
          </w:tcPr>
          <w:p>
            <w:r>
              <w:t>9,2 RMB/m2/Tag</w:t>
            </w:r>
          </w:p>
        </w:tc>
        <w:tc>
          <w:tcPr>
            <w:tcW w:type="dxa" w:w="2160"/>
          </w:tcPr>
          <w:p>
            <w:r>
              <w:t>8,8 RMB/m2/Tag</w:t>
            </w:r>
          </w:p>
        </w:tc>
        <w:tc>
          <w:tcPr>
            <w:tcW w:type="dxa" w:w="2160"/>
          </w:tcPr>
          <w:p>
            <w:r>
              <w:t>+5 %</w:t>
            </w:r>
          </w:p>
        </w:tc>
      </w:tr>
      <w:tr>
        <w:tc>
          <w:tcPr>
            <w:tcW w:type="dxa" w:w="2160"/>
          </w:tcPr>
          <w:p>
            <w:r>
              <w:t>Wechselkurs RMB/EUR YE2023</w:t>
            </w:r>
          </w:p>
        </w:tc>
        <w:tc>
          <w:tcPr>
            <w:tcW w:type="dxa" w:w="2160"/>
          </w:tcPr>
          <w:p>
            <w:r>
              <w:t>7,82</w:t>
            </w:r>
          </w:p>
        </w:tc>
        <w:tc>
          <w:tcPr>
            <w:tcW w:type="dxa" w:w="2160"/>
          </w:tcPr>
          <w:p>
            <w:r>
              <w:t>7,42</w:t>
            </w:r>
          </w:p>
        </w:tc>
        <w:tc>
          <w:tcPr>
            <w:tcW w:type="dxa" w:w="2160"/>
          </w:tcPr>
          <w:p>
            <w:r>
              <w:t>+5,4 %</w:t>
            </w:r>
          </w:p>
        </w:tc>
      </w:tr>
    </w:tbl>
    <w:p>
      <w:pPr>
        <w:pStyle w:val="Heading3"/>
      </w:pPr>
      <w:r>
        <w:t>Bewertungsergebnis</w:t>
      </w:r>
    </w:p>
    <w:p>
      <w:r>
        <w:t>Bewertungsstichtag: 31. Dezember 2023.</w:t>
        <w:br/>
        <w:t>Marktwert des Mietrechts (Lease-Hold Interest) zum Stichtag:</w:t>
        <w:br/>
        <w:t>- Net Present Value verbleibender Mietvertrag (Restlaufzeit 24 Monate): 14,2 Mio. RMB (ca. 1,82 Mio. EUR)</w:t>
        <w:br/>
        <w:t>- Wiederbeschaffungs-Mietkosten 2-Jahres-Vertrag bei Marktmiete: 16,8 Mio. RMB (ca. 2,15 Mio. EUR)</w:t>
        <w:br/>
        <w:t>Empfehlung: bei Anschlussmietvertrag Q1/2026 Neuverhandlung mit Zielkorridor 8,5 - 9,0 RMB/m2/Tag (Marktanpassung bei steigendem Leerstand).</w:t>
      </w:r>
    </w:p>
    <w:p>
      <w:pPr>
        <w:pStyle w:val="Heading3"/>
      </w:pPr>
      <w:r>
        <w:t>Empfehlungen an Treasury / Real Estate Committee</w:t>
      </w:r>
    </w:p>
    <w:p>
      <w:r>
        <w:t>(1) Vertragsverlaengerung 2026 ist wirtschaftlich; alternative Standortpruefung Lujiazui CBD (etwas hoehere Mieten, naeher zum Bankenviertel) ist nicht zwingend.</w:t>
        <w:br/>
        <w:t>(2) Hedging der RMB-Mietzahlungen ueber Konzern-Treasury (Markus Pflanzer) fuer 12-Monats-Horizont empfohlen.</w:t>
        <w:br/>
        <w:t>(3) Bilanzielle Behandlung: IFRS 16 ROU-Asset und Lease-Liability bereits korrekt erfasst (siehe Konzernabschluss REA 2023 Note 14).</w:t>
      </w:r>
    </w:p>
    <w:p>
      <w:pPr>
        <w:pStyle w:val="Heading3"/>
      </w:pPr>
      <w:r>
        <w:t>Schlussvermerk</w:t>
      </w:r>
    </w:p>
    <w:p>
      <w:r>
        <w:t>Shanghai/Stuttgart, 15. Januar 2024. Gutachten erstellt von James Liu MRICS, Cushman &amp; Wakefield Shanghai Ltd. Gutachten ist vertraulich; nicht zur Weitergabe an Dritte. (Hinweis: dieses Dokument fand sich in der Brno-Akte; vermutlich Ablagefehler.)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