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Mercedes-Benz QBR ECU-900 – Q1/2022 (Quarterly Business Review)</w:t>
      </w:r>
    </w:p>
    <w:p>
      <w:pPr>
        <w:jc w:val="center"/>
      </w:pPr>
      <w:r>
        <w:t>Kunde: Mercedes-Benz Group AG | Produkt: Powertrain-ECU Gen3 (ECU-900) | Werk: REG Heilbronn (Modulen) + RCZ Brno (Steckverbinder)</w:t>
      </w:r>
    </w:p>
    <w:p/>
    <w:p>
      <w:pPr>
        <w:pStyle w:val="Heading3"/>
      </w:pPr>
      <w:r>
        <w:t>Teilnehmer</w:t>
      </w:r>
    </w:p>
    <w:p>
      <w:r>
        <w:t>Mercedes-Benz Group AG (MBZ):</w:t>
        <w:br/>
        <w:t>- Dr. Sebastian Vogt (Director Powertrain Procurement)</w:t>
        <w:br/>
        <w:t>- Daniel Wagner (Lead Buyer ECU)</w:t>
        <w:br/>
        <w:t>- Dipl.-Ing. Sarah Brettmann (Quality Engineering Powertrain)</w:t>
      </w:r>
    </w:p>
    <w:p>
      <w:r>
        <w:t>Brennhagen Elektronik AG / Toechter:</w:t>
        <w:br/>
        <w:t>- Stefan Richter (CMO/BD, REA)</w:t>
        <w:br/>
        <w:t>- Andreas Maier (Werkleiter REG, Hauptverantwortung ECU-900-Modul)</w:t>
        <w:br/>
        <w:t>- Petr Novak (Werkleiter RCZ, Steckverbinder-Zulieferung)</w:t>
        <w:br/>
        <w:t>- Eva Cerna (Q-Leitung RCZ)</w:t>
        <w:br/>
        <w:t>- Sabine Brand (Q-Leitung REG)</w:t>
      </w:r>
    </w:p>
    <w:p>
      <w:pPr>
        <w:pStyle w:val="Heading3"/>
      </w:pPr>
      <w:r>
        <w:t>Performance Q1/2022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Q1/2022 Ist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Lieferperformance OTIF</w:t>
            </w:r>
          </w:p>
        </w:tc>
        <w:tc>
          <w:tcPr>
            <w:tcW w:type="dxa" w:w="2160"/>
          </w:tcPr>
          <w:p>
            <w:r>
              <w:t>98,4 %</w:t>
            </w:r>
          </w:p>
        </w:tc>
        <w:tc>
          <w:tcPr>
            <w:tcW w:type="dxa" w:w="2160"/>
          </w:tcPr>
          <w:p>
            <w:r>
              <w:t>&gt;98 %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Customer Complaints PPM</w:t>
            </w:r>
          </w:p>
        </w:tc>
        <w:tc>
          <w:tcPr>
            <w:tcW w:type="dxa" w:w="2160"/>
          </w:tcPr>
          <w:p>
            <w:r>
              <w:t>12 PPM</w:t>
            </w:r>
          </w:p>
        </w:tc>
        <w:tc>
          <w:tcPr>
            <w:tcW w:type="dxa" w:w="2160"/>
          </w:tcPr>
          <w:p>
            <w:r>
              <w:t>&lt;25 PPM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Kostenentwicklung (Preisreduktion p.a.)</w:t>
            </w:r>
          </w:p>
        </w:tc>
        <w:tc>
          <w:tcPr>
            <w:tcW w:type="dxa" w:w="2160"/>
          </w:tcPr>
          <w:p>
            <w:r>
              <w:t>-2,8 %</w:t>
            </w:r>
          </w:p>
        </w:tc>
        <w:tc>
          <w:tcPr>
            <w:tcW w:type="dxa" w:w="2160"/>
          </w:tcPr>
          <w:p>
            <w:r>
              <w:t>-3,0 % (LTA)</w:t>
            </w:r>
          </w:p>
        </w:tc>
        <w:tc>
          <w:tcPr>
            <w:tcW w:type="dxa" w:w="2160"/>
          </w:tcPr>
          <w:p>
            <w:r>
              <w:t>GELB</w:t>
            </w:r>
          </w:p>
        </w:tc>
      </w:tr>
      <w:tr>
        <w:tc>
          <w:tcPr>
            <w:tcW w:type="dxa" w:w="2160"/>
          </w:tcPr>
          <w:p>
            <w:r>
              <w:t>Reklamationen 8D (Stk.)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&lt;2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Qualitaetskosten (FCR + EFR)</w:t>
            </w:r>
          </w:p>
        </w:tc>
        <w:tc>
          <w:tcPr>
            <w:tcW w:type="dxa" w:w="2160"/>
          </w:tcPr>
          <w:p>
            <w:r>
              <w:t>0,18 % Umsatz</w:t>
            </w:r>
          </w:p>
        </w:tc>
        <w:tc>
          <w:tcPr>
            <w:tcW w:type="dxa" w:w="2160"/>
          </w:tcPr>
          <w:p>
            <w:r>
              <w:t>&lt;0,25 %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</w:tbl>
    <w:p>
      <w:pPr>
        <w:pStyle w:val="Heading3"/>
      </w:pPr>
      <w:r>
        <w:t>Highlights / Themen</w:t>
      </w:r>
    </w:p>
    <w:p>
      <w:pPr>
        <w:pStyle w:val="ListBullet"/>
      </w:pPr>
      <w:r>
        <w:t>PPAP-Approval Linie 2 RCZ Brno fuer neue MQS-12 Variante (200 V) erfolgt am 14.3.2022</w:t>
      </w:r>
    </w:p>
    <w:p>
      <w:pPr>
        <w:pStyle w:val="ListBullet"/>
      </w:pPr>
      <w:r>
        <w:t>Capacity-Aufbau fuer C-Klasse Hochlauf 2022/2023 (zusaetzliche 25 % Stueckzahl ab Q3/2022), CapEx 4,2 Mio. EUR in REG + 1,8 Mio. EUR in RCZ freigegeben</w:t>
      </w:r>
    </w:p>
    <w:p>
      <w:pPr>
        <w:pStyle w:val="ListBullet"/>
      </w:pPr>
      <w:r>
        <w:t>Kupferpreis-Pass-Through-Klausel ueber Q-Index aktiviert (rueckwirkend Q4/2021)</w:t>
      </w:r>
    </w:p>
    <w:p>
      <w:pPr>
        <w:pStyle w:val="ListBullet"/>
      </w:pPr>
      <w:r>
        <w:t>8D-Report 8D-2022-014 (Crimp-Hoehe out-of-spec, RCZ Brno) abgeschlossen, Root-Cause Werkzeugverschleiss, Werkzeug ersetzt, kein Field-Issue</w:t>
      </w:r>
    </w:p>
    <w:p>
      <w:pPr>
        <w:pStyle w:val="ListBullet"/>
      </w:pPr>
      <w:r>
        <w:t>Vorbereitung Carbon-Footprint-Disclosure CDP-Supplier 2022 (Scope 1+2 Werks-Brno)</w:t>
      </w:r>
    </w:p>
    <w:p>
      <w:pPr>
        <w:pStyle w:val="Heading3"/>
      </w:pPr>
      <w:r>
        <w:t>Roadmap / Naechste Schritte</w:t>
      </w:r>
    </w:p>
    <w:p>
      <w:r>
        <w:t>Q2/2022: PPAP-Genehmigung 800 V-Variante fuer Hochleistungsmodelle. Q3/2022: Vertragsverlaengerung Rahmenliefervertrag ECU-900 (Laufzeit 2023-2027). Q4/2022: Pruefung Erweiterung Lieferumfang auf Stellantis-Plattform STLA Large (Synergien fuer RCZ).</w:t>
      </w:r>
    </w:p>
    <w:p>
      <w:r>
        <w:t>Naechstes QBR: 24. Juni 2022 (Sindelfingen).</w:t>
      </w:r>
    </w:p>
    <w:p>
      <w:r>
        <w:t>Hinweis: dieses Dokument liegt versehentlich im RCZ-Brno-Ordner, obwohl primaerer Lead REG Heilbronn ist; betrifft RCZ als Sub-Tier-1-Lieferant.</w:t>
      </w:r>
    </w:p>
    <w:p>
      <w:pPr>
        <w:pStyle w:val="Heading3"/>
      </w:pPr>
      <w:r>
        <w:t>Sign-off</w:t>
      </w:r>
    </w:p>
    <w:p>
      <w:r>
        <w:t>Ort, Datum: Heilbronn, den 31. Maerz 2022</w:t>
      </w:r>
    </w:p>
    <w:p>
      <w:r>
        <w:t>_________________________            _________________________</w:t>
        <w:br/>
        <w:t>Stefan Richter                          Dr. Sebastian Vogt</w:t>
        <w:br/>
        <w:t>CMO/BD                          Director Powertrain Procurement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