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Faktura / Rechnung RHU -&gt; REG Nr. RHU-IC-2020-07-207 (Sensorik Juli 2020)</w:t>
      </w:r>
    </w:p>
    <w:p>
      <w:pPr>
        <w:jc w:val="center"/>
      </w:pPr>
      <w:r>
        <w:t>Brennhagen Hungary Kft. (Gyor) -&gt; Brennhagen Elektronik GmbH (Heilbronn) | EUR (Konzernfakturierung HUF -&gt; EUR Konzernkurs 350 HUF/EUR)</w:t>
      </w:r>
    </w:p>
    <w:p/>
    <w:p>
      <w:pPr>
        <w:pStyle w:val="Heading3"/>
      </w:pPr>
      <w:r>
        <w:t>Rechnungsdaten</w:t>
      </w:r>
    </w:p>
    <w:p>
      <w:r>
        <w:t>Rechnungsnummer: RHU-IC-2020-07-207</w:t>
        <w:br/>
        <w:t>Rechnungsdatum: 15. Juli 2020</w:t>
        <w:br/>
        <w:t>Leistungsdatum (Teljesites): 31. Juli 2020 (DUZP analogue HU)</w:t>
        <w:br/>
        <w:t>Faelligkeit: 60 Tage netto (Konzern-Group-Terms)</w:t>
        <w:br/>
        <w:t>Lieferbedingungen: FCA Gyor, Incoterms 2020</w:t>
      </w:r>
    </w:p>
    <w:p>
      <w:pPr>
        <w:pStyle w:val="Heading3"/>
      </w:pPr>
      <w:r>
        <w:t>Leistender</w:t>
      </w:r>
    </w:p>
    <w:p>
      <w:r>
        <w:t>Brennhagen Hungary Kft.</w:t>
        <w:br/>
        <w:t>Gyari ut 5, 9027 Gyor, Magyarorszag</w:t>
        <w:br/>
        <w:t>Cegjegyzekszama (HRB): Cg.08-09-029876</w:t>
        <w:br/>
        <w:t>Adoszam: 24587431-2-08</w:t>
        <w:br/>
        <w:t>IBAN: HU42 1177 3016 1111 1018 0000 0000</w:t>
        <w:br/>
        <w:t>BIC: OTPVHUHB (OTP Bank Nyrt., Gyor-Belvaros)</w:t>
      </w:r>
    </w:p>
    <w:p>
      <w:pPr>
        <w:pStyle w:val="Heading3"/>
      </w:pPr>
      <w:r>
        <w:t>Empfaenger</w:t>
      </w:r>
    </w:p>
    <w:p>
      <w:r>
        <w:t>Brennhagen Elektronik GmbH (REG)</w:t>
        <w:br/>
        <w:t>Heilbronner Strasse 88, 74072 Heilbronn</w:t>
        <w:br/>
        <w:t>HRB 221456, AG Heilbronn | USt-IdNr. DE312487901</w:t>
      </w:r>
    </w:p>
    <w:p>
      <w:pPr>
        <w:pStyle w:val="Heading3"/>
      </w:pPr>
      <w:r>
        <w:t>Leistungsumfang</w:t>
      </w:r>
    </w:p>
    <w:p>
      <w:r>
        <w:t>Lieferung von Sensorik-Modulen (Drehratensensor, Beschleunigungssensor) fuer Verbau in ADAS-V4D und ECU-900 gemaess Rahmenliefervertrag RHU-REG-2019. Verrechnung zu Konzern-Verrechnungspreisen (Cost-Plus 8,0 %) gemaess Konzern-Transfer-Pricing-Richtlinie 2020. Hinweis: Diese Rechnung gehoert thematisch zu RHU Gyor und ist vermutlich versehentlich im RCZ-Brno-Ordner abgelegt worden.</w:t>
      </w:r>
    </w:p>
    <w:p>
      <w:pPr>
        <w:pStyle w:val="Heading3"/>
      </w:pPr>
      <w:r>
        <w:t>Positionen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Bezeichnung</w:t>
            </w:r>
          </w:p>
        </w:tc>
        <w:tc>
          <w:tcPr>
            <w:tcW w:type="dxa" w:w="1728"/>
          </w:tcPr>
          <w:p>
            <w:r>
              <w:t>Menge</w:t>
            </w:r>
          </w:p>
        </w:tc>
        <w:tc>
          <w:tcPr>
            <w:tcW w:type="dxa" w:w="1728"/>
          </w:tcPr>
          <w:p>
            <w:r>
              <w:t>Einzelpreis EUR</w:t>
            </w:r>
          </w:p>
        </w:tc>
        <w:tc>
          <w:tcPr>
            <w:tcW w:type="dxa" w:w="1728"/>
          </w:tcPr>
          <w:p>
            <w:r>
              <w:t>Gesamtpreis EUR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Drehratensensor 3-Achs ASD-302</w:t>
            </w:r>
          </w:p>
        </w:tc>
        <w:tc>
          <w:tcPr>
            <w:tcW w:type="dxa" w:w="1728"/>
          </w:tcPr>
          <w:p>
            <w:r>
              <w:t>18.000</w:t>
            </w:r>
          </w:p>
        </w:tc>
        <w:tc>
          <w:tcPr>
            <w:tcW w:type="dxa" w:w="1728"/>
          </w:tcPr>
          <w:p>
            <w:r>
              <w:t>4,80</w:t>
            </w:r>
          </w:p>
        </w:tc>
        <w:tc>
          <w:tcPr>
            <w:tcW w:type="dxa" w:w="1728"/>
          </w:tcPr>
          <w:p>
            <w:r>
              <w:t>86.400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Beschleunigungssensor 3-Achs ASB-201</w:t>
            </w:r>
          </w:p>
        </w:tc>
        <w:tc>
          <w:tcPr>
            <w:tcW w:type="dxa" w:w="1728"/>
          </w:tcPr>
          <w:p>
            <w:r>
              <w:t>22.000</w:t>
            </w:r>
          </w:p>
        </w:tc>
        <w:tc>
          <w:tcPr>
            <w:tcW w:type="dxa" w:w="1728"/>
          </w:tcPr>
          <w:p>
            <w:r>
              <w:t>3,90</w:t>
            </w:r>
          </w:p>
        </w:tc>
        <w:tc>
          <w:tcPr>
            <w:tcW w:type="dxa" w:w="1728"/>
          </w:tcPr>
          <w:p>
            <w:r>
              <w:t>85.800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Sensor-PCB 4-lagig 60x40 mm</w:t>
            </w:r>
          </w:p>
        </w:tc>
        <w:tc>
          <w:tcPr>
            <w:tcW w:type="dxa" w:w="1728"/>
          </w:tcPr>
          <w:p>
            <w:r>
              <w:t>12.000</w:t>
            </w:r>
          </w:p>
        </w:tc>
        <w:tc>
          <w:tcPr>
            <w:tcW w:type="dxa" w:w="1728"/>
          </w:tcPr>
          <w:p>
            <w:r>
              <w:t>6,20</w:t>
            </w:r>
          </w:p>
        </w:tc>
        <w:tc>
          <w:tcPr>
            <w:tcW w:type="dxa" w:w="1728"/>
          </w:tcPr>
          <w:p>
            <w:r>
              <w:t>74.400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Testkalibrierung Endkontrolle</w:t>
            </w:r>
          </w:p>
        </w:tc>
        <w:tc>
          <w:tcPr>
            <w:tcW w:type="dxa" w:w="1728"/>
          </w:tcPr>
          <w:p>
            <w:r>
              <w:t>52.000</w:t>
            </w:r>
          </w:p>
        </w:tc>
        <w:tc>
          <w:tcPr>
            <w:tcW w:type="dxa" w:w="1728"/>
          </w:tcPr>
          <w:p>
            <w:r>
              <w:t>0,18</w:t>
            </w:r>
          </w:p>
        </w:tc>
        <w:tc>
          <w:tcPr>
            <w:tcW w:type="dxa" w:w="1728"/>
          </w:tcPr>
          <w:p>
            <w:r>
              <w:t>9.360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255.960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MWSt (Reverse Charge §142 HU-USt)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255.960 EUR</w:t>
            </w:r>
          </w:p>
        </w:tc>
      </w:tr>
    </w:tbl>
    <w:p>
      <w:pPr>
        <w:pStyle w:val="Heading3"/>
      </w:pPr>
      <w:r>
        <w:t>Sonstiges</w:t>
      </w:r>
    </w:p>
    <w:p>
      <w:r>
        <w:t>Reverse Charge gemaess ungarischem MwSt-Gesetz § 142 (2007. evi CXXVII. tv.). Steuerschuld geht auf REG ueber. EC-Sales-List / Zusammenfassende Meldung monatlich an NAV. Intrastat-Meldung Versendung HU -&gt; DE durch RHU-Logistik.</w:t>
      </w:r>
    </w:p>
    <w:p>
      <w:pPr>
        <w:pStyle w:val="Heading3"/>
      </w:pPr>
      <w:r>
        <w:t>Buchhalterische Erfassung</w:t>
      </w:r>
    </w:p>
    <w:p>
      <w:r>
        <w:t>RHU (BUKR HU01) Konto 311000; REG (BUKR DE01) Konto 421000 RHU-IC-Vbk. Konzernabstimmung Florian Maier (Group Controller).</w:t>
      </w:r>
    </w:p>
    <w:p>
      <w:pPr>
        <w:pStyle w:val="Heading3"/>
      </w:pPr>
      <w:r>
        <w:t>Genehmigung</w:t>
      </w:r>
    </w:p>
    <w:p>
      <w:r>
        <w:t>Erstellt: Lohnabteilung RHU.</w:t>
        <w:br/>
        <w:t>Geprueft: Lead Finance RHU Andrea Szabo.</w:t>
        <w:br/>
        <w:t>Freigegeben: Werkleiter Laszlo Kovacs.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