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 Compliance Report Brennhagen Hungary Kft. (Gyor) – Geschaeftsjahr 2022</w:t>
      </w:r>
    </w:p>
    <w:p>
      <w:pPr>
        <w:jc w:val="center"/>
      </w:pPr>
      <w:r>
        <w:t>Berichterstatter: Local Compliance Officer Gyor | Hinweis: ggf. Fehlablage – Dokument betrifft RHU, nicht RCZ</w:t>
      </w:r>
    </w:p>
    <w:p/>
    <w:p>
      <w:pPr>
        <w:pStyle w:val="Heading3"/>
      </w:pPr>
      <w:r>
        <w:t>Vorbemerkung zur Ablage</w:t>
      </w:r>
    </w:p>
    <w:p>
      <w:r>
        <w:t>Dieses Dokument betrifft die Brennhagen Hungary Kft. (RHU, Gyor) und ist vermutlich versehentlich im Ordner der Brennhagen CZ s.r.o. (Brno) abgelegt. Aus Konsistenzgruenden wird der Inhalt dennoch hier nochmals dokumentiert.</w:t>
      </w:r>
    </w:p>
    <w:p>
      <w:pPr>
        <w:pStyle w:val="Heading3"/>
      </w:pPr>
      <w:r>
        <w:t>Compliance-Organisation Gyor</w:t>
      </w:r>
    </w:p>
    <w:p>
      <w:r>
        <w:t>Local Compliance Officer RHU: Dr. Eszter Toth (50 %), dotted line an Chief Compliance Officer REA. Quartalsweise Compliance-Komitee unter Vorsitz Werkleiter Laszlo Kovacs.</w:t>
      </w:r>
    </w:p>
    <w:p>
      <w:pPr>
        <w:pStyle w:val="Heading3"/>
      </w:pPr>
      <w:r>
        <w:t>Wesentliche Compliance-Themen 2022</w:t>
      </w:r>
    </w:p>
    <w:p>
      <w:pPr>
        <w:pStyle w:val="ListBullet"/>
      </w:pPr>
      <w:r>
        <w:t>Anti-Korruption: Schulung 100 % Indirect Personnel, 0 Hinweise auf Hotline (Convercent).</w:t>
      </w:r>
    </w:p>
    <w:p>
      <w:pPr>
        <w:pStyle w:val="ListBullet"/>
      </w:pPr>
      <w:r>
        <w:t>Kartellrecht: Schulung Sales/Einkauf erfolgt, keine Vorfaelle.</w:t>
      </w:r>
    </w:p>
    <w:p>
      <w:pPr>
        <w:pStyle w:val="ListBullet"/>
      </w:pPr>
      <w:r>
        <w:t>Datenschutz (GDPR / NAIH): Verzeichnis Verarbeitungstaetigkeiten aktuell, 1 Datenpanne (USB-Stick verloren, keine sensiblen Daten), gemeldet NAIH ohne Sanktion.</w:t>
      </w:r>
    </w:p>
    <w:p>
      <w:pPr>
        <w:pStyle w:val="ListBullet"/>
      </w:pPr>
      <w:r>
        <w:t>Arbeitsschutz: LTIFR 5,1 (HU Branche 7,8); keine schweren Unfaelle.</w:t>
      </w:r>
    </w:p>
    <w:p>
      <w:pPr>
        <w:pStyle w:val="ListBullet"/>
      </w:pPr>
      <w:r>
        <w:t>Steuerliche Compliance: Online-Faktura-Meldung (NAV Online Szamla) fristgerecht; keine Beanstandungen.</w:t>
      </w:r>
    </w:p>
    <w:p>
      <w:pPr>
        <w:pStyle w:val="ListBullet"/>
      </w:pPr>
      <w:r>
        <w:t>Geldwaeschepraevention: nicht primaer betroffen; KYC-Standardprozess.</w:t>
      </w:r>
    </w:p>
    <w:p>
      <w:pPr>
        <w:pStyle w:val="ListBullet"/>
      </w:pPr>
      <w:r>
        <w:t>EHS / Umwelt: ISO 14001 Surveillance-Audit bestanden (0 Major, 2 Minor).</w:t>
      </w:r>
    </w:p>
    <w:p>
      <w:pPr>
        <w:pStyle w:val="Heading3"/>
      </w:pPr>
      <w:r>
        <w:t>Personalrechtliche Themen</w:t>
      </w:r>
    </w:p>
    <w:p>
      <w:r>
        <w:t>Tarifabschluss mit lokaler Gewerkschaft VASAS am 1.4.2022: +9,5 % Tabellenentgelte (im Branchen-Mittel HU Auto), Erhoehung Cafeteria 660.000 HUF/Jahr. Keine arbeitsrechtlichen Klagen oder Eskalationen.</w:t>
      </w:r>
    </w:p>
    <w:p>
      <w:pPr>
        <w:pStyle w:val="Heading3"/>
      </w:pPr>
      <w:r>
        <w:t>Audit-Plan 2023</w:t>
      </w:r>
    </w:p>
    <w:p>
      <w:r>
        <w:t>Geplante interne Audits 2023: Lieferantenfreigabe (Q1), Spesen/Reisekosten (Q2), IT-Berechtigungen (Q3), Q-Datenintegritaet IATF (Q4). Externe Audits: KPMG Magyarorszag JA-Pruefung (Feb 2023), IATF-Surveillance (Jun 2023).</w:t>
      </w:r>
    </w:p>
    <w:p>
      <w:pPr>
        <w:pStyle w:val="Heading3"/>
      </w:pPr>
      <w:r>
        <w:t>Schlussvermerk</w:t>
      </w:r>
    </w:p>
    <w:p>
      <w:r>
        <w:t>Gyor, 15.2.2023.</w:t>
      </w:r>
    </w:p>
    <w:p>
      <w:r>
        <w:t>Dr. Eszter Toth, Local Compliance Officer.</w:t>
        <w:br/>
        <w:t>Freigabe: Laszlo Kovacs, Werkleiter.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