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Langfristvertrag (LTA) Robert Bosch GmbH - Brennhagen Elektronik AG</w:t>
      </w:r>
    </w:p>
    <w:p>
      <w:pPr>
        <w:jc w:val="center"/>
      </w:pPr>
      <w:r>
        <w:t>Rahmenliefervertrag Sensorik / Steuergeraete 2023-2027 (stray-filed im RHU-Ordner, betrifft Konzern-LTA)</w:t>
      </w:r>
    </w:p>
    <w:p/>
    <w:p>
      <w:pPr>
        <w:pStyle w:val="Heading3"/>
      </w:pPr>
      <w:r>
        <w:t>Vertragsparteien</w:t>
      </w:r>
    </w:p>
    <w:p>
      <w:r>
        <w:t>Kunde: Robert Bosch GmbH, Robert-Bosch-Platz 1, 70839 Gerlingen-Schillerhoehe, HRB 14000, AG Stuttgart, vertreten durch Dr. Markus Heyn (CEO Mobility Solutions).</w:t>
      </w:r>
    </w:p>
    <w:p>
      <w:r>
        <w:t>Lieferant: Brennhagen Elektronik AG (Holding) mit Lieferwerk Brennhagen Hungary Kft., Gyoer (RHU) fuer Sensorik sowie Brennhagen Elektronik GmbH, Heilbronn (REG) fuer Steuergeraete-Plattformen.</w:t>
      </w:r>
    </w:p>
    <w:p>
      <w:pPr>
        <w:pStyle w:val="Heading3"/>
      </w:pPr>
      <w:r>
        <w:t>Vertragsgegenstand</w:t>
      </w:r>
    </w:p>
    <w:p>
      <w:pPr>
        <w:pStyle w:val="Heading4"/>
      </w:pPr>
      <w:r>
        <w:t>1. §  Liefergegenstaende</w:t>
      </w:r>
    </w:p>
    <w:p>
      <w:r>
        <w:rPr>
          <w:b/>
        </w:rPr>
        <w:t xml:space="preserve">(1) </w:t>
      </w:r>
      <w:r>
        <w:t>Beschleunigungssensoren BES-5500-Familie (RHU Gyoer)</w:t>
      </w:r>
    </w:p>
    <w:p>
      <w:r>
        <w:rPr>
          <w:b/>
        </w:rPr>
        <w:t xml:space="preserve">(2) </w:t>
      </w:r>
      <w:r>
        <w:t>Drucksensoren DRS-3300 (RHU Gyoer)</w:t>
      </w:r>
    </w:p>
    <w:p>
      <w:r>
        <w:rPr>
          <w:b/>
        </w:rPr>
        <w:t xml:space="preserve">(3) </w:t>
      </w:r>
      <w:r>
        <w:t>Powertrain-ECU ECU-900 (REG Heilbronn)</w:t>
      </w:r>
    </w:p>
    <w:p>
      <w:r>
        <w:rPr>
          <w:b/>
        </w:rPr>
        <w:t xml:space="preserve">(4) </w:t>
      </w:r>
      <w:r>
        <w:t>Anwendung: Bosch Mobility Solutions Plattformen ab MJ 2024 fuer OEM-Programme VW (MEB+), Stellantis (STLA Medium).</w:t>
      </w:r>
    </w:p>
    <w:p>
      <w:pPr>
        <w:pStyle w:val="Heading4"/>
      </w:pPr>
      <w:r>
        <w:t>2. §  Volumen</w:t>
      </w:r>
    </w:p>
    <w:p>
      <w:r>
        <w:rPr>
          <w:b/>
        </w:rPr>
        <w:t xml:space="preserve">(1) </w:t>
      </w:r>
      <w:r>
        <w:t>Indikatives Gesamtvolumen 2023-2027: ca. 312 Mio. EUR.</w:t>
      </w:r>
    </w:p>
    <w:p>
      <w:r>
        <w:rPr>
          <w:b/>
        </w:rPr>
        <w:t xml:space="preserve">(2) </w:t>
      </w:r>
      <w:r>
        <w:t>RHU-Anteil ca. 38 % (118 Mio. EUR), REG-Anteil ca. 62 % (194 Mio. EUR).</w:t>
      </w:r>
    </w:p>
    <w:p>
      <w:r>
        <w:rPr>
          <w:b/>
        </w:rPr>
        <w:t xml:space="preserve">(3) </w:t>
      </w:r>
      <w:r>
        <w:t>Keine Mindestabnahmeverpflichtung; Bosch garantiert jedoch Volumenkorridor +/- 15 % gegenueber Rolling Forecast.</w:t>
      </w:r>
    </w:p>
    <w:p>
      <w:pPr>
        <w:pStyle w:val="Heading4"/>
      </w:pPr>
      <w:r>
        <w:t>3. §  Preise / Preisanpassung</w:t>
      </w:r>
    </w:p>
    <w:p>
      <w:r>
        <w:rPr>
          <w:b/>
        </w:rPr>
        <w:t xml:space="preserve">(1) </w:t>
      </w:r>
      <w:r>
        <w:t>Preise EUR-basiert. RHU-Sensorik-Preise unterliegen jaehrlicher Preisverhandlung (Productivity Sharing 2,5 % p. a. ab Y2).</w:t>
      </w:r>
    </w:p>
    <w:p>
      <w:r>
        <w:rPr>
          <w:b/>
        </w:rPr>
        <w:t xml:space="preserve">(2) </w:t>
      </w:r>
      <w:r>
        <w:t>Rohstoff-Indexierung fuer Halbleiter (PHLX SOX), Edelmetalle (LME) und EUR/HUF-Wechselkurs (&gt;5 % Schwankung loest Verhandlung aus).</w:t>
      </w:r>
    </w:p>
    <w:p>
      <w:pPr>
        <w:pStyle w:val="Heading4"/>
      </w:pPr>
      <w:r>
        <w:t>4. §  Qualitaet / IATF 16949</w:t>
      </w:r>
    </w:p>
    <w:p>
      <w:r>
        <w:rPr>
          <w:b/>
        </w:rPr>
        <w:t xml:space="preserve">(1) </w:t>
      </w:r>
      <w:r>
        <w:t>Werk Gyoer (RHU) und Heilbronn (REG) sind nach IATF 16949 zertifiziert. Bosch-spezifische BPS-Anforderungen (Bosch Production System) sind im Anhang Q1 zu erfuellen. PPAP/PPF Level 3 fuer alle Erstmuster.</w:t>
      </w:r>
    </w:p>
    <w:p>
      <w:pPr>
        <w:pStyle w:val="Heading4"/>
      </w:pPr>
      <w:r>
        <w:t>5. §  Logistik</w:t>
      </w:r>
    </w:p>
    <w:p>
      <w:r>
        <w:rPr>
          <w:b/>
        </w:rPr>
        <w:t xml:space="preserve">(1) </w:t>
      </w:r>
      <w:r>
        <w:t>JIS/JIT-Anlieferung an Bosch-Werke (Stuttgart-Feuerbach, Bamberg, Reutlingen). Incoterms 2020: DDP Werk Bosch. Verpackung in Bosch-Mehrweg-Behaeltern (KLT).</w:t>
      </w:r>
    </w:p>
    <w:p>
      <w:pPr>
        <w:pStyle w:val="Heading4"/>
      </w:pPr>
      <w:r>
        <w:t>6. §  Haftung</w:t>
      </w:r>
    </w:p>
    <w:p>
      <w:r>
        <w:rPr>
          <w:b/>
        </w:rPr>
        <w:t xml:space="preserve">(1) </w:t>
      </w:r>
      <w:r>
        <w:t>Produkthaftung gem. Bosch-Einkaufsbedingungen (BEB), Haftungshoechstgrenze 10 Mio. EUR/Schadensfall, 20 Mio. EUR/Versicherungsjahr. Feldausfall-Risikoverteilung gem. ZVEI-Empfehlung Field-Failure-Cost-Sharing.</w:t>
      </w:r>
    </w:p>
    <w:p>
      <w:pPr>
        <w:pStyle w:val="Heading4"/>
      </w:pPr>
      <w:r>
        <w:t>7. §  Laufzeit / Kuendigung</w:t>
      </w:r>
    </w:p>
    <w:p>
      <w:r>
        <w:rPr>
          <w:b/>
        </w:rPr>
        <w:t xml:space="preserve">(1) </w:t>
      </w:r>
      <w:r>
        <w:t>1.1.2023 - 31.12.2027 mit Option auf Verlaengerung (zwei Jahre, einseitig Bosch). Kuendigung aus wichtigem Grund jederzeit moeglich (z.B. wiederholte 8D mit Klasse-A-Fehler).</w:t>
      </w:r>
    </w:p>
    <w:p>
      <w:pPr>
        <w:pStyle w:val="Heading3"/>
      </w:pPr>
      <w:r>
        <w:t>Unterschriften</w:t>
      </w:r>
    </w:p>
    <w:p>
      <w:r>
        <w:t>Ort, Datum: Gerlingen / Stuttgart, den 14. Februar 2023</w:t>
      </w:r>
    </w:p>
    <w:p>
      <w:r>
        <w:t>_________________________            _________________________</w:t>
        <w:br/>
        <w:t>Dr. Markus Heyn                          Anna Mueller</w:t>
        <w:br/>
        <w:t>CEO Mobility Solutions                          Vorstandsvorsitzende</w:t>
        <w:br/>
        <w:t>Robert Bosch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