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Konzern-Bilanzierungsrichtlinie IAS 36 - Wertminderung von Vermoegenswerten</w:t>
      </w:r>
    </w:p>
    <w:p>
      <w:pPr>
        <w:jc w:val="center"/>
      </w:pPr>
      <w:r>
        <w:t>Group Accounting Policy 2023 (CGU-Definition u.a. RHU Gyoer)</w:t>
      </w:r>
    </w:p>
    <w:p/>
    <w:p>
      <w:pPr>
        <w:pStyle w:val="Heading3"/>
      </w:pPr>
      <w:r>
        <w:t>Anwendungsbereich</w:t>
      </w:r>
    </w:p>
    <w:p>
      <w:r>
        <w:t>Diese Richtlinie regelt die Anwendung von IAS 36 (Impairment of Assets) im Brennhagen-Konzern (REA und alle vollkonsolidierten Tochtergesellschaften REG, RSG, RPL, RCZ, RHU, RCN, RHO). Sie gilt fuer immaterielle Vermoegenswerte, Sachanlagen und cash-generating units (CGU).</w:t>
      </w:r>
    </w:p>
    <w:p>
      <w:pPr>
        <w:pStyle w:val="Heading3"/>
      </w:pPr>
      <w:r>
        <w:t>CGU-Festlegung im Konzern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CGU-Code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Buchwert 31.12.2023 (Mio. EUR)</w:t>
            </w:r>
          </w:p>
        </w:tc>
      </w:tr>
      <w:tr>
        <w:tc>
          <w:tcPr>
            <w:tcW w:type="dxa" w:w="2880"/>
          </w:tcPr>
          <w:p>
            <w:r>
              <w:t>CGU-REG</w:t>
            </w:r>
          </w:p>
        </w:tc>
        <w:tc>
          <w:tcPr>
            <w:tcW w:type="dxa" w:w="2880"/>
          </w:tcPr>
          <w:p>
            <w:r>
              <w:t>Werk Heilbronn (ICP-3, BMS-12)</w:t>
            </w:r>
          </w:p>
        </w:tc>
        <w:tc>
          <w:tcPr>
            <w:tcW w:type="dxa" w:w="2880"/>
          </w:tcPr>
          <w:p>
            <w:r>
              <w:t>186</w:t>
            </w:r>
          </w:p>
        </w:tc>
      </w:tr>
      <w:tr>
        <w:tc>
          <w:tcPr>
            <w:tcW w:type="dxa" w:w="2880"/>
          </w:tcPr>
          <w:p>
            <w:r>
              <w:t>CGU-RSG</w:t>
            </w:r>
          </w:p>
        </w:tc>
        <w:tc>
          <w:tcPr>
            <w:tcW w:type="dxa" w:w="2880"/>
          </w:tcPr>
          <w:p>
            <w:r>
              <w:t>Software-Entwicklung Muenchen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CGU-RPL</w:t>
            </w:r>
          </w:p>
        </w:tc>
        <w:tc>
          <w:tcPr>
            <w:tcW w:type="dxa" w:w="2880"/>
          </w:tcPr>
          <w:p>
            <w:r>
              <w:t>EMS Katowice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2880"/>
          </w:tcPr>
          <w:p>
            <w:r>
              <w:t>CGU-RCZ</w:t>
            </w:r>
          </w:p>
        </w:tc>
        <w:tc>
          <w:tcPr>
            <w:tcW w:type="dxa" w:w="2880"/>
          </w:tcPr>
          <w:p>
            <w:r>
              <w:t>Steckverbinder Brno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CGU-RHU</w:t>
            </w:r>
          </w:p>
        </w:tc>
        <w:tc>
          <w:tcPr>
            <w:tcW w:type="dxa" w:w="2880"/>
          </w:tcPr>
          <w:p>
            <w:r>
              <w:t>Sensorik Gyoer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CGU-RCN</w:t>
            </w:r>
          </w:p>
        </w:tc>
        <w:tc>
          <w:tcPr>
            <w:tcW w:type="dxa" w:w="2880"/>
          </w:tcPr>
          <w:p>
            <w:r>
              <w:t>Vertrieb Shanghai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</w:tbl>
    <w:p>
      <w:pPr>
        <w:pStyle w:val="Heading3"/>
      </w:pPr>
      <w:r>
        <w:t>Werthaltigkeitstest</w:t>
      </w:r>
    </w:p>
    <w:p>
      <w:r>
        <w:t>Werthaltigkeitstests werden jaehrlich zum 30.9. (Vor-Test) und 31.12. (final) durchgefuehrt. Der erzielbare Betrag (recoverable amount) ist der hoehere Betrag aus Nutzungswert (value in use) und beizulegendem Zeitwert abzueglich Veraeusserungskosten (FVLCS).</w:t>
      </w:r>
    </w:p>
    <w:p>
      <w:r>
        <w:t>Diskontierungszinssatz (WACC) je CGU: gewichtete Kapitalkosten unter Beruecksichtigung Laenderrisiko. WACC RHU 2023: 9,4 % (EUR-basiert), WACC RCN 2023: 11,8 % (CNY-basiert).</w:t>
      </w:r>
    </w:p>
    <w:p>
      <w:pPr>
        <w:pStyle w:val="Heading3"/>
      </w:pPr>
      <w:r>
        <w:t>Triggering Events</w:t>
      </w:r>
    </w:p>
    <w:p>
      <w:pPr>
        <w:pStyle w:val="ListBullet"/>
      </w:pPr>
      <w:r>
        <w:t>OEM-Kuendigung eines kritischen Programms (z.B. ICP-3 BMW)</w:t>
      </w:r>
    </w:p>
    <w:p>
      <w:pPr>
        <w:pStyle w:val="ListBullet"/>
      </w:pPr>
      <w:r>
        <w:t>Wesentlicher Wechselkursverfall (HUF/EUR &gt; 15 % Schwaeche)</w:t>
      </w:r>
    </w:p>
    <w:p>
      <w:pPr>
        <w:pStyle w:val="ListBullet"/>
      </w:pPr>
      <w:r>
        <w:t>Strategische Strukturveraenderungen (z.B. Werksschliessung)</w:t>
      </w:r>
    </w:p>
    <w:p>
      <w:pPr>
        <w:pStyle w:val="ListBullet"/>
      </w:pPr>
      <w:r>
        <w:t>Marktwert REA-Aktie &lt; Buchwert pro Aktie ueber 6 Monate</w:t>
      </w:r>
    </w:p>
    <w:p>
      <w:pPr>
        <w:pStyle w:val="Heading3"/>
      </w:pPr>
      <w:r>
        <w:t>Verantwortlichkeiten</w:t>
      </w:r>
    </w:p>
    <w:p>
      <w:r>
        <w:t>Group Controlling (Florian Maier) erstellt die jaehrlichen Impairment-Tests. Pruefung durch KPMG (Dr. Maximilian Brand, Lead Partner). Dokumentation in der IFRS-Impairment-Datei je CGU mit Sensitivitaetsanalyse.</w:t>
      </w:r>
    </w:p>
    <w:p>
      <w:pPr>
        <w:pStyle w:val="Heading3"/>
      </w:pPr>
      <w:r>
        <w:t>Inkrafttreten</w:t>
      </w:r>
    </w:p>
    <w:p>
      <w:r>
        <w:t>Diese Richtlinie tritt zum 1.1.2023 in Kraft und ersetzt die Version 2020. Naechste Ueberpruefung 2026.</w:t>
      </w:r>
    </w:p>
    <w:p>
      <w:pPr>
        <w:pStyle w:val="Heading3"/>
      </w:pPr>
      <w:r>
        <w:t>Freigabe</w:t>
      </w:r>
    </w:p>
    <w:p>
      <w:r>
        <w:t>Ort, Datum: Stuttgart, den 15. Dezember 2022</w:t>
      </w:r>
    </w:p>
    <w:p>
      <w:r>
        <w:t>_________________________            _________________________</w:t>
        <w:br/>
        <w:t>Florian Maier                          Laura Bauer</w:t>
        <w:br/>
        <w:t>Group Controller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