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Compliance-Jahresbericht 2023 - Brennhagen Hungary Kft.</w:t>
      </w:r>
    </w:p>
    <w:p>
      <w:pPr>
        <w:jc w:val="center"/>
      </w:pPr>
      <w:r>
        <w:t>Bericht an Group Compliance / Group Audit (CAE Andreas Buehler)</w:t>
      </w:r>
    </w:p>
    <w:p/>
    <w:p>
      <w:pPr>
        <w:pStyle w:val="Heading3"/>
      </w:pPr>
      <w:r>
        <w:t>Berichtsumfang</w:t>
      </w:r>
    </w:p>
    <w:p>
      <w:r>
        <w:t>Dieser Compliance-Bericht der Brennhagen Hungary Kft. (RHU) umfasst das Geschaeftsjahr 2023 (1.1. - 31.12.2023). Bericht erstattet an Group Compliance der Brennhagen Elektronik AG (Stuttgart) sowie an den Pruefungsausschuss-Vorsitzenden des Aufsichtsrats (Prof. Dr.-Ing. Gerhard Voss).</w:t>
      </w:r>
    </w:p>
    <w:p>
      <w:pPr>
        <w:pStyle w:val="Heading3"/>
      </w:pPr>
      <w:r>
        <w:t>Compliance-Organisation RHU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Funktion</w:t>
            </w:r>
          </w:p>
        </w:tc>
        <w:tc>
          <w:tcPr>
            <w:tcW w:type="dxa" w:w="4320"/>
          </w:tcPr>
          <w:p>
            <w:r>
              <w:t>Verantwortlich</w:t>
            </w:r>
          </w:p>
        </w:tc>
      </w:tr>
      <w:tr>
        <w:tc>
          <w:tcPr>
            <w:tcW w:type="dxa" w:w="4320"/>
          </w:tcPr>
          <w:p>
            <w:r>
              <w:t>Werkleiter / Geschaeftsfuehrer</w:t>
            </w:r>
          </w:p>
        </w:tc>
        <w:tc>
          <w:tcPr>
            <w:tcW w:type="dxa" w:w="4320"/>
          </w:tcPr>
          <w:p>
            <w:r>
              <w:t>Laszlo Kovacs</w:t>
            </w:r>
          </w:p>
        </w:tc>
      </w:tr>
      <w:tr>
        <w:tc>
          <w:tcPr>
            <w:tcW w:type="dxa" w:w="4320"/>
          </w:tcPr>
          <w:p>
            <w:r>
              <w:t>Compliance-Koordinatorin RHU</w:t>
            </w:r>
          </w:p>
        </w:tc>
        <w:tc>
          <w:tcPr>
            <w:tcW w:type="dxa" w:w="4320"/>
          </w:tcPr>
          <w:p>
            <w:r>
              <w:t>Dr. Eszter Nagy</w:t>
            </w:r>
          </w:p>
        </w:tc>
      </w:tr>
      <w:tr>
        <w:tc>
          <w:tcPr>
            <w:tcW w:type="dxa" w:w="4320"/>
          </w:tcPr>
          <w:p>
            <w:r>
              <w:t>Datenschutz (DPO local)</w:t>
            </w:r>
          </w:p>
        </w:tc>
        <w:tc>
          <w:tcPr>
            <w:tcW w:type="dxa" w:w="4320"/>
          </w:tcPr>
          <w:p>
            <w:r>
              <w:t>Andrea Szabo (HR + Datenschutz)</w:t>
            </w:r>
          </w:p>
        </w:tc>
      </w:tr>
      <w:tr>
        <w:tc>
          <w:tcPr>
            <w:tcW w:type="dxa" w:w="4320"/>
          </w:tcPr>
          <w:p>
            <w:r>
              <w:t>Anti-Korruption-Ansprechperson</w:t>
            </w:r>
          </w:p>
        </w:tc>
        <w:tc>
          <w:tcPr>
            <w:tcW w:type="dxa" w:w="4320"/>
          </w:tcPr>
          <w:p>
            <w:r>
              <w:t>Dr. Eszter Nagy</w:t>
            </w:r>
          </w:p>
        </w:tc>
      </w:tr>
      <w:tr>
        <w:tc>
          <w:tcPr>
            <w:tcW w:type="dxa" w:w="4320"/>
          </w:tcPr>
          <w:p>
            <w:r>
              <w:t>Whistleblower-Channel</w:t>
            </w:r>
          </w:p>
        </w:tc>
        <w:tc>
          <w:tcPr>
            <w:tcW w:type="dxa" w:w="4320"/>
          </w:tcPr>
          <w:p>
            <w:r>
              <w:t>Konzern-Hotline (EQS Integrity Line, 24/7, ungarisch)</w:t>
            </w:r>
          </w:p>
        </w:tc>
      </w:tr>
    </w:tbl>
    <w:p>
      <w:pPr>
        <w:pStyle w:val="Heading3"/>
      </w:pPr>
      <w:r>
        <w:t>Berichtsthemen 2023</w:t>
      </w:r>
    </w:p>
    <w:p>
      <w:pPr>
        <w:pStyle w:val="ListBullet"/>
      </w:pPr>
      <w:r>
        <w:t>Anti-Korruption / Geldwaesche: 4 Schulungen (alle 540 MA + 28 externe), 100 % Coverage</w:t>
      </w:r>
    </w:p>
    <w:p>
      <w:pPr>
        <w:pStyle w:val="ListBullet"/>
      </w:pPr>
      <w:r>
        <w:t>Datenschutz / NAIH (ungarische Datenschutzbehoerde): 1 Vorfall gemeldet (DSGVO-2023-011, siehe gesondertes Dokument). Bussgeldverfahren laeuft, Allianz-Versicherung informiert.</w:t>
      </w:r>
    </w:p>
    <w:p>
      <w:pPr>
        <w:pStyle w:val="ListBullet"/>
      </w:pPr>
      <w:r>
        <w:t>Kartellrecht: keine Vorfaelle. Konzern-Schulung in November 2023 absolviert.</w:t>
      </w:r>
    </w:p>
    <w:p>
      <w:pPr>
        <w:pStyle w:val="ListBullet"/>
      </w:pPr>
      <w:r>
        <w:t>Steuer-Compliance (NAV - Nemzeti Adohivatal): Steuererklaerungen fristgerecht. Aussenpruefung KSt/USt fuer 2020-2022 in Q3/2023 abgeschlossen, Bescheid ohne Mehrsteuer.</w:t>
      </w:r>
    </w:p>
    <w:p>
      <w:pPr>
        <w:pStyle w:val="ListBullet"/>
      </w:pPr>
      <w:r>
        <w:t>Exportkontrolle / Dual-Use: 12 Lieferungen China/Asien geprueft, alle freigegeben.</w:t>
      </w:r>
    </w:p>
    <w:p>
      <w:pPr>
        <w:pStyle w:val="ListBullet"/>
      </w:pPr>
      <w:r>
        <w:t>Arbeitsrecht (Mt. - Munka Toerveny Koenyve): 2 individuelle Streitigkeiten, beide aussergerichtlich beigelegt.</w:t>
      </w:r>
    </w:p>
    <w:p>
      <w:pPr>
        <w:pStyle w:val="Heading3"/>
      </w:pPr>
      <w:r>
        <w:t>Whistleblower-Meldungen 2023</w:t>
      </w:r>
    </w:p>
    <w:p>
      <w:r>
        <w:t>Ueber den Konzern-Whistleblower-Channel (EQS Integrity Line) wurden 3 RHU-bezogene Meldungen empfangen: 2x Verdacht ueberhoehter Spesenabrechnung (Untersuchung unbestaetigt), 1x Hinweis auf Sicherheitsmangel (technische Massnahme umgesetzt). Keine Meldung mit strafrechtlicher Relevanz.</w:t>
      </w:r>
    </w:p>
    <w:p>
      <w:pPr>
        <w:pStyle w:val="Heading3"/>
      </w:pPr>
      <w:r>
        <w:t>Schulungen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Schulungsthema</w:t>
            </w:r>
          </w:p>
        </w:tc>
        <w:tc>
          <w:tcPr>
            <w:tcW w:type="dxa" w:w="2880"/>
          </w:tcPr>
          <w:p>
            <w:r>
              <w:t>Teilnehmer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Code of Conduct (Online)</w:t>
            </w:r>
          </w:p>
        </w:tc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99,6 %</w:t>
            </w:r>
          </w:p>
        </w:tc>
      </w:tr>
      <w:tr>
        <w:tc>
          <w:tcPr>
            <w:tcW w:type="dxa" w:w="2880"/>
          </w:tcPr>
          <w:p>
            <w:r>
              <w:t>Anti-Korruption (Praesenz Fuehrungskraefte)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Datenschutz / DSGVO + NAIH</w:t>
            </w:r>
          </w:p>
        </w:tc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100 % (Nach Vorfall)</w:t>
            </w:r>
          </w:p>
        </w:tc>
      </w:tr>
      <w:tr>
        <w:tc>
          <w:tcPr>
            <w:tcW w:type="dxa" w:w="2880"/>
          </w:tcPr>
          <w:p>
            <w:r>
              <w:t>Exportkontrolle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</w:tbl>
    <w:p>
      <w:pPr>
        <w:pStyle w:val="Heading3"/>
      </w:pPr>
      <w:r>
        <w:t>Fazit / Empfehlungen</w:t>
      </w:r>
    </w:p>
    <w:p>
      <w:r>
        <w:t>Die Compliance-Lage der RHU ist insgesamt geordnet. Wesentlicher Verbesserungsbedarf besteht beim Datenschutz (USB-Stick-Vorfall): Endpoint-Policy wurde verschaerft, Datenschutz-Schulungen werden 2024 quartalsweise fortgesetzt. Empfehlung: lokale ISO-27001-Vorbereitung 2024 parallel zur Konzern-Initiative.</w:t>
      </w:r>
    </w:p>
    <w:p>
      <w:pPr>
        <w:pStyle w:val="Heading3"/>
      </w:pPr>
      <w:r>
        <w:t>Freigabe</w:t>
      </w:r>
    </w:p>
    <w:p>
      <w:r>
        <w:t>Ort, Datum: Gyoer, den 29. Januar 2024</w:t>
      </w:r>
    </w:p>
    <w:p>
      <w:r>
        <w:t>_________________________            _________________________</w:t>
        <w:br/>
        <w:t>Dr. Eszter Nagy                          Laszlo Kovacs</w:t>
        <w:br/>
        <w:t>Compliance-Koord.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