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IC-Quartalsbericht Q3/2019 - Brennhagen Hungary Kft.</w:t>
      </w:r>
    </w:p>
    <w:p>
      <w:pPr>
        <w:jc w:val="center"/>
      </w:pPr>
      <w:r>
        <w:t>Intercompany-Reporting an Group Controlling (REA Stuttgart)</w:t>
      </w:r>
    </w:p>
    <w:p/>
    <w:p>
      <w:pPr>
        <w:pStyle w:val="Heading3"/>
      </w:pPr>
      <w:r>
        <w:t>Berichtskennzahlen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Q-Ist</w:t>
            </w:r>
          </w:p>
        </w:tc>
        <w:tc>
          <w:tcPr>
            <w:tcW w:type="dxa" w:w="2160"/>
          </w:tcPr>
          <w:p>
            <w:r>
              <w:t>Vorjahres-Q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</w:tr>
      <w:tr>
        <w:tc>
          <w:tcPr>
            <w:tcW w:type="dxa" w:w="2160"/>
          </w:tcPr>
          <w:p>
            <w:r>
              <w:t>Umsatz (Mio. HUF)</w:t>
            </w:r>
          </w:p>
        </w:tc>
        <w:tc>
          <w:tcPr>
            <w:tcW w:type="dxa" w:w="2160"/>
          </w:tcPr>
          <w:p>
            <w:r>
              <w:t>3240</w:t>
            </w:r>
          </w:p>
        </w:tc>
        <w:tc>
          <w:tcPr>
            <w:tcW w:type="dxa" w:w="2160"/>
          </w:tcPr>
          <w:p>
            <w:r>
              <w:t>2980</w:t>
            </w:r>
          </w:p>
        </w:tc>
        <w:tc>
          <w:tcPr>
            <w:tcW w:type="dxa" w:w="2160"/>
          </w:tcPr>
          <w:p>
            <w:r>
              <w:t>3175</w:t>
            </w:r>
          </w:p>
        </w:tc>
      </w:tr>
      <w:tr>
        <w:tc>
          <w:tcPr>
            <w:tcW w:type="dxa" w:w="2160"/>
          </w:tcPr>
          <w:p>
            <w:r>
              <w:t>EBITDA (Mio. HUF)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8.7 %</w:t>
            </w:r>
          </w:p>
        </w:tc>
        <w:tc>
          <w:tcPr>
            <w:tcW w:type="dxa" w:w="2160"/>
          </w:tcPr>
          <w:p>
            <w:r>
              <w:t>8.3 %</w:t>
            </w:r>
          </w:p>
        </w:tc>
        <w:tc>
          <w:tcPr>
            <w:tcW w:type="dxa" w:w="2160"/>
          </w:tcPr>
          <w:p>
            <w:r>
              <w:t>9,5 %</w:t>
            </w:r>
          </w:p>
        </w:tc>
      </w:tr>
      <w:tr>
        <w:tc>
          <w:tcPr>
            <w:tcW w:type="dxa" w:w="2160"/>
          </w:tcPr>
          <w:p>
            <w:r>
              <w:t>Beschaeftigte (FTE)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EUR/HUF Stichtagskurs</w:t>
            </w:r>
          </w:p>
        </w:tc>
        <w:tc>
          <w:tcPr>
            <w:tcW w:type="dxa" w:w="2160"/>
          </w:tcPr>
          <w:p>
            <w:r>
              <w:t>385,2</w:t>
            </w:r>
          </w:p>
        </w:tc>
        <w:tc>
          <w:tcPr>
            <w:tcW w:type="dxa" w:w="2160"/>
          </w:tcPr>
          <w:p>
            <w:r>
              <w:t>365,8</w:t>
            </w:r>
          </w:p>
        </w:tc>
        <w:tc>
          <w:tcPr>
            <w:tcW w:type="dxa" w:w="2160"/>
          </w:tcPr>
          <w:p>
            <w:r>
              <w:t>390,0</w:t>
            </w:r>
          </w:p>
        </w:tc>
      </w:tr>
    </w:tbl>
    <w:p>
      <w:pPr>
        <w:pStyle w:val="Heading3"/>
      </w:pPr>
      <w:r>
        <w:t>Geschaeftsverlauf</w:t>
      </w:r>
    </w:p>
    <w:p>
      <w:r>
        <w:t>Die Brennhagen Hungary Kft. (RHU) erzielte im Q3/2019 einen Umsatz von 3 240 000 000 HUF (entspricht ca. 8.4 Mio. EUR zum Stichtagskurs). Hauptkunden im Sensorik-Bereich blieben BMW (28 %), Mercedes (24 %), VW (18 %), Audi (12 %), uebrige Kunden 18 %. Die Auslastung der drei Produktionslinien lag bei durchschnittlich 91 %.</w:t>
      </w:r>
    </w:p>
    <w:p>
      <w:pPr>
        <w:pStyle w:val="Heading3"/>
      </w:pPr>
      <w:r>
        <w:t>Wesentliche Quartalsthemen</w:t>
      </w:r>
    </w:p>
    <w:p>
      <w:pPr>
        <w:pStyle w:val="ListBullet"/>
      </w:pPr>
      <w:r>
        <w:t>Sommerproduktion stabil, Rekord-Output September</w:t>
      </w:r>
    </w:p>
    <w:p>
      <w:pPr>
        <w:pStyle w:val="ListBullet"/>
      </w:pPr>
      <w:r>
        <w:t>Schulungswoche Q-Personal</w:t>
      </w:r>
    </w:p>
    <w:p>
      <w:pPr>
        <w:pStyle w:val="ListBullet"/>
      </w:pPr>
      <w:r>
        <w:t>Investitionsfreigabe SMT-Linie 4</w:t>
      </w:r>
    </w:p>
    <w:p>
      <w:pPr>
        <w:pStyle w:val="ListBullet"/>
      </w:pPr>
      <w:r>
        <w:t>Hyundai-Auftrag (Pilotserie) angelaufen</w:t>
      </w:r>
    </w:p>
    <w:p>
      <w:pPr>
        <w:pStyle w:val="Heading3"/>
      </w:pPr>
      <w:r>
        <w:t>Risiken / Hinweise</w:t>
      </w:r>
    </w:p>
    <w:p>
      <w:r>
        <w:t>EUR/HUF-Wechselkursrisiko bleibt erhoeht (Schwankungsbreite +/- 8 % im Quartal). Hedging-Quote durch Group Treasury (Markus Pflanzer) bei 80 % der EUR-Exposures. Lieferantenrisiko: ein japanischer Halbleiter-Lieferant unter Beobachtung (Allokation seit Q1, alternative Quellen identifiziert). NAV-Aussenpruefung KSt 2020-2022 in Bearbeitung.</w:t>
      </w:r>
    </w:p>
    <w:p>
      <w:pPr>
        <w:pStyle w:val="Heading3"/>
      </w:pPr>
      <w:r>
        <w:t>Ausblick</w:t>
      </w:r>
    </w:p>
    <w:p>
      <w:r>
        <w:t>Erwartete Umsatz-Entwicklung Folgequartal: leichter Anstieg um 3-5 % durch Anlauf neuer Mercedes-Programme. EBITDA-Margenziel: &gt; 9 %. Investitionen Q+1: rd. 280 Mio. HUF in eine zusaetzliche Pruefstandsstrasse.</w:t>
      </w:r>
    </w:p>
    <w:p>
      <w:pPr>
        <w:pStyle w:val="Heading3"/>
      </w:pPr>
      <w:r>
        <w:t>Freigabe / Signatur</w:t>
      </w:r>
    </w:p>
    <w:p>
      <w:r>
        <w:t>Ort, Datum: Gyoer, den 15. Juli 2019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