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Q4/2019 -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3410</w:t>
            </w:r>
          </w:p>
        </w:tc>
        <w:tc>
          <w:tcPr>
            <w:tcW w:type="dxa" w:w="2160"/>
          </w:tcPr>
          <w:p>
            <w:r>
              <w:t>3137</w:t>
            </w:r>
          </w:p>
        </w:tc>
        <w:tc>
          <w:tcPr>
            <w:tcW w:type="dxa" w:w="2160"/>
          </w:tcPr>
          <w:p>
            <w:r>
              <w:t>3341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8.7 %</w:t>
            </w:r>
          </w:p>
        </w:tc>
        <w:tc>
          <w:tcPr>
            <w:tcW w:type="dxa" w:w="2160"/>
          </w:tcPr>
          <w:p>
            <w:r>
              <w:t>8.3 %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Q4/2019 einen Umsatz von 3 410 000 000 HUF (entspricht ca. 8.9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Jahresendgeschaeft stark, Schichtbetrieb 6+1</w:t>
      </w:r>
    </w:p>
    <w:p>
      <w:pPr>
        <w:pStyle w:val="ListBullet"/>
      </w:pPr>
      <w:r>
        <w:t>Inventur dezember regulaer abgeschlossen</w:t>
      </w:r>
    </w:p>
    <w:p>
      <w:pPr>
        <w:pStyle w:val="ListBullet"/>
      </w:pPr>
      <w:r>
        <w:t>Bonusausschuettung 13. Monatsgehalt an alle Mitarbeiter (Q-Ziel uebertroffen)</w:t>
      </w:r>
    </w:p>
    <w:p>
      <w:pPr>
        <w:pStyle w:val="ListBullet"/>
      </w:pPr>
      <w:r>
        <w:t>Strategie-Klausur Werkleitung 2024-2026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Oktober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