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Q1/2020 -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2980</w:t>
            </w:r>
          </w:p>
        </w:tc>
        <w:tc>
          <w:tcPr>
            <w:tcW w:type="dxa" w:w="2160"/>
          </w:tcPr>
          <w:p>
            <w:r>
              <w:t>2741</w:t>
            </w:r>
          </w:p>
        </w:tc>
        <w:tc>
          <w:tcPr>
            <w:tcW w:type="dxa" w:w="2160"/>
          </w:tcPr>
          <w:p>
            <w:r>
              <w:t>2920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7.2 %</w:t>
            </w:r>
          </w:p>
        </w:tc>
        <w:tc>
          <w:tcPr>
            <w:tcW w:type="dxa" w:w="2160"/>
          </w:tcPr>
          <w:p>
            <w:r>
              <w:t>6.9 %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Q1/2020 einen Umsatz von 2 980 000 000 HUF (entspricht ca. 7.7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Hochlauf neuer Drehzahlsensor-Linie BMW</w:t>
      </w:r>
    </w:p>
    <w:p>
      <w:pPr>
        <w:pStyle w:val="ListBullet"/>
      </w:pPr>
      <w:r>
        <w:t>Lieferantenwechsel ASIC (Infineon -&gt; ST)</w:t>
      </w:r>
    </w:p>
    <w:p>
      <w:pPr>
        <w:pStyle w:val="ListBullet"/>
      </w:pPr>
      <w:r>
        <w:t>IATF 16949 Surveillance-Audit bestanden</w:t>
      </w:r>
    </w:p>
    <w:p>
      <w:pPr>
        <w:pStyle w:val="ListBullet"/>
      </w:pPr>
      <w:r>
        <w:t>Mehrarbeit im Maerz (Nachholbedarf)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Januar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