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Februar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138 200 000 HUF</w:t>
            </w:r>
          </w:p>
        </w:tc>
        <w:tc>
          <w:tcPr>
            <w:tcW w:type="dxa" w:w="2880"/>
          </w:tcPr>
          <w:p>
            <w:r>
              <w:t>358.961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138 200 000 HUF</w:t>
            </w:r>
          </w:p>
        </w:tc>
        <w:tc>
          <w:tcPr>
            <w:tcW w:type="dxa" w:w="2880"/>
          </w:tcPr>
          <w:p>
            <w:r>
              <w:t>358.961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Februar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