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RHU-IC-2020-04-001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RHU-IC-2020-04-001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April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April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98 400 000 HUF</w:t>
            </w:r>
          </w:p>
        </w:tc>
        <w:tc>
          <w:tcPr>
            <w:tcW w:type="dxa" w:w="2880"/>
          </w:tcPr>
          <w:p>
            <w:r>
              <w:t>255.584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98 400 000 HUF</w:t>
            </w:r>
          </w:p>
        </w:tc>
        <w:tc>
          <w:tcPr>
            <w:tcW w:type="dxa" w:w="2880"/>
          </w:tcPr>
          <w:p>
            <w:r>
              <w:t>255.584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April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