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RHU-IC-2020-05-001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RHU-IC-2020-05-001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Mai 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Mai 2020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102 300 000 HUF</w:t>
            </w:r>
          </w:p>
        </w:tc>
        <w:tc>
          <w:tcPr>
            <w:tcW w:type="dxa" w:w="2880"/>
          </w:tcPr>
          <w:p>
            <w:r>
              <w:t>265.714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102 300 000 HUF</w:t>
            </w:r>
          </w:p>
        </w:tc>
        <w:tc>
          <w:tcPr>
            <w:tcW w:type="dxa" w:w="2880"/>
          </w:tcPr>
          <w:p>
            <w:r>
              <w:t>265.714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Mai 2020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