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Nr. RHU-IC-2020-10-001</w:t>
      </w:r>
    </w:p>
    <w:p>
      <w:pPr>
        <w:jc w:val="center"/>
      </w:pPr>
      <w:r>
        <w:t>Brennhagen Hungary Kft. an Brennhagen Elektronik GmbH</w:t>
      </w:r>
    </w:p>
    <w:p/>
    <w:p>
      <w:pPr>
        <w:pStyle w:val="Heading3"/>
      </w:pPr>
      <w:r>
        <w:t>Rechnungssteller</w:t>
      </w:r>
    </w:p>
    <w:p>
      <w:r>
        <w:t>Brennhagen Hungary Kft.</w:t>
        <w:br/>
        <w:t>Ipari Park, Bercsenyi liget 14, H-9027 Gyoer, Magyarorszag</w:t>
        <w:br/>
        <w:t>Cg.08-09-029876, Adoszam: HU 12876543-2-08</w:t>
        <w:br/>
        <w:t>Bank: OTP Bank Nyrt., HU92 1177 3111 0098 7654 3210 0987</w:t>
        <w:br/>
        <w:t>Werkleiter: Laszlo Kovacs</w:t>
      </w:r>
    </w:p>
    <w:p>
      <w:pPr>
        <w:pStyle w:val="Heading3"/>
      </w:pPr>
      <w:r>
        <w:t>Rechnungsempfaenger</w:t>
      </w:r>
    </w:p>
    <w:p>
      <w:r>
        <w:t>Brennhagen Elektronik GmbH</w:t>
        <w:br/>
        <w:t>Vaihinger Strasse 120, 70567 Stuttgart, Deutschland</w:t>
        <w:br/>
        <w:t>USt-IdNr.: DE 312 487 901, HRB 726451 AG Stuttgart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Rechnungsnr.</w:t>
            </w:r>
          </w:p>
        </w:tc>
        <w:tc>
          <w:tcPr>
            <w:tcW w:type="dxa" w:w="4320"/>
          </w:tcPr>
          <w:p>
            <w:r>
              <w:t>RHU-IC-2020-10-001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Oktober 2020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28. Oktober 2020 (Monatsleistung)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 ab Rechnungsdatum</w:t>
            </w:r>
          </w:p>
        </w:tc>
      </w:tr>
      <w:tr>
        <w:tc>
          <w:tcPr>
            <w:tcW w:type="dxa" w:w="4320"/>
          </w:tcPr>
          <w:p>
            <w:r>
              <w:t>Skonto</w:t>
            </w:r>
          </w:p>
        </w:tc>
        <w:tc>
          <w:tcPr>
            <w:tcW w:type="dxa" w:w="4320"/>
          </w:tcPr>
          <w:p>
            <w:r>
              <w:t>2 % bei Zahlung binnen 10 Tagen</w:t>
            </w:r>
          </w:p>
        </w:tc>
      </w:tr>
      <w:tr>
        <w:tc>
          <w:tcPr>
            <w:tcW w:type="dxa" w:w="4320"/>
          </w:tcPr>
          <w:p>
            <w:r>
              <w:t>Lieferschein-Nr.</w:t>
            </w:r>
          </w:p>
        </w:tc>
        <w:tc>
          <w:tcPr>
            <w:tcW w:type="dxa" w:w="4320"/>
          </w:tcPr>
          <w:p>
            <w:r>
              <w:t>siehe Anlage (Sammellieferschein Monatsende)</w:t>
            </w:r>
          </w:p>
        </w:tc>
      </w:tr>
    </w:tbl>
    <w:p>
      <w:pPr>
        <w:pStyle w:val="Heading3"/>
      </w:pPr>
      <w:r>
        <w:t>Leistungsbeschreibung</w:t>
      </w:r>
    </w:p>
    <w:p>
      <w:r>
        <w:t>Produktion und Lieferung Beschleunigungssensoren BES-5500-Familie an REG Heilbronn fuer Mercedes EQS-Plattform. EMV-Pruefzeugnisse beigefuegt.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HUF</w:t>
            </w:r>
          </w:p>
        </w:tc>
        <w:tc>
          <w:tcPr>
            <w:tcW w:type="dxa" w:w="2880"/>
          </w:tcPr>
          <w:p>
            <w:r>
              <w:t>EUR (Tageskurs)</w:t>
            </w:r>
          </w:p>
        </w:tc>
      </w:tr>
      <w:tr>
        <w:tc>
          <w:tcPr>
            <w:tcW w:type="dxa" w:w="2880"/>
          </w:tcPr>
          <w:p>
            <w:r>
              <w:t>Nettobetrag</w:t>
            </w:r>
          </w:p>
        </w:tc>
        <w:tc>
          <w:tcPr>
            <w:tcW w:type="dxa" w:w="2880"/>
          </w:tcPr>
          <w:p>
            <w:r>
              <w:t>162 500 000 HUF</w:t>
            </w:r>
          </w:p>
        </w:tc>
        <w:tc>
          <w:tcPr>
            <w:tcW w:type="dxa" w:w="2880"/>
          </w:tcPr>
          <w:p>
            <w:r>
              <w:t>422.078 EUR</w:t>
            </w:r>
          </w:p>
        </w:tc>
      </w:tr>
      <w:tr>
        <w:tc>
          <w:tcPr>
            <w:tcW w:type="dxa" w:w="2880"/>
          </w:tcPr>
          <w:p>
            <w:r>
              <w:t>Reverse-Charge (EU)</w:t>
            </w:r>
          </w:p>
        </w:tc>
        <w:tc>
          <w:tcPr>
            <w:tcW w:type="dxa" w:w="2880"/>
          </w:tcPr>
          <w:p>
            <w:r>
              <w:t>0 (Art. 196 MwStSysRL - Steuerschuldnerschaft Empfaenger)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Bruttobetrag</w:t>
            </w:r>
          </w:p>
        </w:tc>
        <w:tc>
          <w:tcPr>
            <w:tcW w:type="dxa" w:w="2880"/>
          </w:tcPr>
          <w:p>
            <w:r>
              <w:t>162 500 000 HUF</w:t>
            </w:r>
          </w:p>
        </w:tc>
        <w:tc>
          <w:tcPr>
            <w:tcW w:type="dxa" w:w="2880"/>
          </w:tcPr>
          <w:p>
            <w:r>
              <w:t>422.078 EUR</w:t>
            </w:r>
          </w:p>
        </w:tc>
      </w:tr>
    </w:tbl>
    <w:p>
      <w:pPr>
        <w:pStyle w:val="Heading3"/>
      </w:pPr>
      <w:r>
        <w:t>Hinweise / Transferpreis</w:t>
      </w:r>
    </w:p>
    <w:p>
      <w:r>
        <w:t>Diese Intercompany-Rechnung wird auf Basis des konzernweiten Cost-Plus-Verrechnungspreismodells gem. Local-File RHU 2022 erstellt. Marge: Cost+8 % (Routinetaetigkeit Produktion). Dokumentation gem. ungarischen TP-Regeln (Art. 31. § und 32. § des KSz-Gesetzes) sowie BEPS-Vorgaben (OECD-Leitlinien 2022). Reverse-Charge Verfahren gem. Art. 196 EU-MwStSystemRL anwendbar.</w:t>
      </w:r>
    </w:p>
    <w:p>
      <w:pPr>
        <w:pStyle w:val="Heading3"/>
      </w:pPr>
      <w:r>
        <w:t>Sachlich/rechnerisch geprueft</w:t>
      </w:r>
    </w:p>
    <w:p>
      <w:r>
        <w:t>Ort, Datum: Gyoer, den 28. Oktober 2020</w:t>
      </w:r>
    </w:p>
    <w:p>
      <w:r>
        <w:t>_________________________            _________________________</w:t>
        <w:br/>
        <w:t>Janos Toth                          Laszlo Kovacs</w:t>
        <w:br/>
        <w:t>Finanzcontroller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