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Februar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148 900 000 HUF</w:t>
            </w:r>
          </w:p>
        </w:tc>
        <w:tc>
          <w:tcPr>
            <w:tcW w:type="dxa" w:w="2880"/>
          </w:tcPr>
          <w:p>
            <w:r>
              <w:t>386.753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148 900 000 HUF</w:t>
            </w:r>
          </w:p>
        </w:tc>
        <w:tc>
          <w:tcPr>
            <w:tcW w:type="dxa" w:w="2880"/>
          </w:tcPr>
          <w:p>
            <w:r>
              <w:t>386.753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Februar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